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5EC0E99D"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1868EE">
        <w:rPr>
          <w:rFonts w:ascii="Arial" w:eastAsia="SimSun" w:hAnsi="Arial" w:cs="Times New Roman"/>
          <w:b/>
          <w:sz w:val="24"/>
          <w:szCs w:val="20"/>
          <w:lang w:val="en-GB"/>
        </w:rPr>
        <w:t>10</w:t>
      </w:r>
      <w:r w:rsidR="008F5C5C">
        <w:rPr>
          <w:rFonts w:ascii="Arial" w:eastAsia="SimSun" w:hAnsi="Arial" w:cs="Times New Roman"/>
          <w:b/>
          <w:sz w:val="24"/>
          <w:szCs w:val="20"/>
          <w:lang w:val="en-GB"/>
        </w:rPr>
        <w:t>3</w:t>
      </w:r>
      <w:r w:rsidR="001868EE">
        <w:rPr>
          <w:rFonts w:ascii="Arial" w:eastAsia="SimSun" w:hAnsi="Arial" w:cs="Times New Roman"/>
          <w:b/>
          <w:sz w:val="24"/>
          <w:szCs w:val="20"/>
          <w:lang w:val="en-GB"/>
        </w:rPr>
        <w:t>-e</w:t>
      </w:r>
      <w:r w:rsidRPr="00841BCD">
        <w:rPr>
          <w:rFonts w:ascii="Arial" w:eastAsia="SimSun" w:hAnsi="Arial" w:cs="Times New Roman"/>
          <w:b/>
          <w:bCs/>
          <w:sz w:val="24"/>
          <w:szCs w:val="20"/>
          <w:lang w:val="en-GB"/>
        </w:rPr>
        <w:tab/>
      </w:r>
      <w:r w:rsidR="003F1952" w:rsidRPr="003F1952">
        <w:rPr>
          <w:rFonts w:ascii="Arial" w:eastAsia="SimSun" w:hAnsi="Arial" w:cs="Times New Roman"/>
          <w:b/>
          <w:bCs/>
          <w:sz w:val="24"/>
          <w:szCs w:val="20"/>
          <w:lang w:val="en-GB" w:eastAsia="ja-JP"/>
        </w:rPr>
        <w:t>R4-2209047</w:t>
      </w:r>
    </w:p>
    <w:p w14:paraId="457FCC4F" w14:textId="093E96F4" w:rsidR="00841BCD" w:rsidRPr="00841BCD"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Electronic Meeting</w:t>
      </w:r>
      <w:r w:rsidR="005C23A4">
        <w:rPr>
          <w:rFonts w:ascii="Arial" w:eastAsia="SimSun" w:hAnsi="Arial" w:cs="Times New Roman"/>
          <w:b/>
          <w:sz w:val="24"/>
          <w:szCs w:val="20"/>
          <w:lang w:val="en-GB"/>
        </w:rPr>
        <w:t xml:space="preserve">, </w:t>
      </w:r>
      <w:r w:rsidR="008F5C5C">
        <w:rPr>
          <w:rFonts w:ascii="Arial" w:eastAsia="SimSun" w:hAnsi="Arial" w:cs="Times New Roman"/>
          <w:b/>
          <w:sz w:val="24"/>
          <w:szCs w:val="20"/>
          <w:lang w:val="en-GB"/>
        </w:rPr>
        <w:t>May 9 – May 20,</w:t>
      </w:r>
      <w:r w:rsidR="006E6311">
        <w:rPr>
          <w:rFonts w:ascii="Arial" w:eastAsia="SimSun" w:hAnsi="Arial" w:cs="Times New Roman"/>
          <w:b/>
          <w:sz w:val="24"/>
          <w:szCs w:val="20"/>
          <w:lang w:val="en-GB"/>
        </w:rPr>
        <w:t xml:space="preserve"> 202</w:t>
      </w:r>
      <w:r w:rsidR="00784DF6">
        <w:rPr>
          <w:rFonts w:ascii="Arial" w:eastAsia="SimSun" w:hAnsi="Arial" w:cs="Times New Roman"/>
          <w:b/>
          <w:sz w:val="24"/>
          <w:szCs w:val="20"/>
          <w:lang w:val="en-GB"/>
        </w:rPr>
        <w:t>2</w:t>
      </w:r>
    </w:p>
    <w:bookmarkEnd w:id="0"/>
    <w:bookmarkEnd w:id="1"/>
    <w:p w14:paraId="52CDCD23"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C439AC5"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0895565B" w14:textId="694E8ADF"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BB704A">
        <w:rPr>
          <w:rFonts w:ascii="Arial" w:eastAsia="Calibri" w:hAnsi="Arial" w:cs="Arial"/>
          <w:b/>
          <w:bCs/>
          <w:sz w:val="24"/>
          <w:lang w:val="en-GB"/>
        </w:rPr>
        <w:t>Discussion on Signalling Characteristics for RedCap UEs</w:t>
      </w:r>
    </w:p>
    <w:p w14:paraId="641E8BEA" w14:textId="02A0CE8E" w:rsidR="00841BCD" w:rsidRPr="00841BCD" w:rsidRDefault="00841BCD" w:rsidP="7AF4FC16">
      <w:pPr>
        <w:tabs>
          <w:tab w:val="left" w:pos="1985"/>
        </w:tabs>
        <w:spacing w:after="120" w:line="240" w:lineRule="auto"/>
        <w:rPr>
          <w:rFonts w:ascii="Arial" w:eastAsia="MS Mincho" w:hAnsi="Arial" w:cs="Arial"/>
          <w:b/>
          <w:bCs/>
          <w:sz w:val="24"/>
          <w:szCs w:val="24"/>
          <w:lang w:val="en-GB"/>
        </w:rPr>
      </w:pPr>
      <w:r w:rsidRPr="00730C2F">
        <w:rPr>
          <w:rFonts w:ascii="Arial" w:eastAsia="MS Mincho" w:hAnsi="Arial" w:cs="Arial"/>
          <w:b/>
          <w:bCs/>
          <w:sz w:val="24"/>
          <w:szCs w:val="24"/>
          <w:lang w:val="en-GB"/>
        </w:rPr>
        <w:t>Agenda item:</w:t>
      </w:r>
      <w:r w:rsidRPr="00730C2F">
        <w:tab/>
      </w:r>
      <w:r w:rsidR="008F5C5C" w:rsidRPr="008F5C5C">
        <w:rPr>
          <w:rFonts w:ascii="Arial" w:eastAsia="Calibri" w:hAnsi="Arial" w:cs="Arial"/>
          <w:b/>
          <w:bCs/>
          <w:sz w:val="24"/>
          <w:lang w:val="en-GB"/>
        </w:rPr>
        <w:t>9.19.3.1.4</w:t>
      </w:r>
    </w:p>
    <w:p w14:paraId="02EA8C51" w14:textId="67BED1D5"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4D2245">
        <w:rPr>
          <w:rFonts w:ascii="Arial" w:eastAsia="Calibri" w:hAnsi="Arial" w:cs="Arial"/>
          <w:b/>
          <w:bCs/>
          <w:sz w:val="24"/>
          <w:lang w:val="en-GB"/>
        </w:rPr>
        <w:t>Discussion and Decision</w:t>
      </w:r>
    </w:p>
    <w:p w14:paraId="07144160" w14:textId="77777777" w:rsidR="00D66188" w:rsidRPr="00841BCD" w:rsidRDefault="00D66188" w:rsidP="00841BCD">
      <w:pPr>
        <w:tabs>
          <w:tab w:val="left" w:pos="1985"/>
        </w:tabs>
        <w:rPr>
          <w:rFonts w:ascii="Arial" w:eastAsia="Calibri" w:hAnsi="Arial" w:cs="Arial"/>
          <w:b/>
          <w:bCs/>
          <w:sz w:val="24"/>
          <w:lang w:val="en-GB"/>
        </w:rPr>
      </w:pPr>
    </w:p>
    <w:p w14:paraId="7B15C003" w14:textId="77777777" w:rsidR="00841BCD" w:rsidRDefault="00841BCD" w:rsidP="00A37002">
      <w:pPr>
        <w:pStyle w:val="RAN4H1"/>
      </w:pPr>
      <w:r w:rsidRPr="00AE56B1">
        <w:t>Intro</w:t>
      </w:r>
      <w:r w:rsidRPr="00AE56B1">
        <w:rPr>
          <w:rStyle w:val="RAN4H1Char"/>
        </w:rPr>
        <w:t>ductio</w:t>
      </w:r>
      <w:r w:rsidRPr="00AE56B1">
        <w:t>n</w:t>
      </w:r>
    </w:p>
    <w:p w14:paraId="10D11600" w14:textId="77777777" w:rsidR="0023293D" w:rsidRDefault="00D71ADA" w:rsidP="0023293D">
      <w:pPr>
        <w:jc w:val="both"/>
        <w:rPr>
          <w:lang w:val="en-GB"/>
        </w:rPr>
      </w:pPr>
      <w:r>
        <w:rPr>
          <w:lang w:val="en-GB"/>
        </w:rPr>
        <w:t xml:space="preserve">The RedCap WID </w:t>
      </w:r>
      <w:r>
        <w:rPr>
          <w:color w:val="2B579A"/>
          <w:shd w:val="clear" w:color="auto" w:fill="E6E6E6"/>
          <w:lang w:val="en-GB"/>
        </w:rPr>
        <w:fldChar w:fldCharType="begin"/>
      </w:r>
      <w:r>
        <w:rPr>
          <w:lang w:val="en-GB"/>
        </w:rPr>
        <w:instrText xml:space="preserve"> REF _Ref90882663 \r \h </w:instrText>
      </w:r>
      <w:r w:rsidR="00416C69">
        <w:rPr>
          <w:lang w:val="en-GB"/>
        </w:rPr>
        <w:instrText xml:space="preserve"> \* MERGEFORMAT </w:instrText>
      </w:r>
      <w:r>
        <w:rPr>
          <w:color w:val="2B579A"/>
          <w:shd w:val="clear" w:color="auto" w:fill="E6E6E6"/>
          <w:lang w:val="en-GB"/>
        </w:rPr>
      </w:r>
      <w:r>
        <w:rPr>
          <w:color w:val="2B579A"/>
          <w:shd w:val="clear" w:color="auto" w:fill="E6E6E6"/>
          <w:lang w:val="en-GB"/>
        </w:rPr>
        <w:fldChar w:fldCharType="separate"/>
      </w:r>
      <w:r w:rsidR="00FB5E1E">
        <w:rPr>
          <w:lang w:val="en-GB"/>
        </w:rPr>
        <w:t>[1]</w:t>
      </w:r>
      <w:r>
        <w:rPr>
          <w:color w:val="2B579A"/>
          <w:shd w:val="clear" w:color="auto" w:fill="E6E6E6"/>
          <w:lang w:val="en-GB"/>
        </w:rPr>
        <w:fldChar w:fldCharType="end"/>
      </w:r>
      <w:r>
        <w:rPr>
          <w:lang w:val="en-GB"/>
        </w:rPr>
        <w:t xml:space="preserve"> defines among its objectives the specification of support for UEs with reduced maximum UE bandwidth and reduced minimum number of Rx branches, which impacts on the UE performance. Since these assumptions </w:t>
      </w:r>
      <w:r w:rsidR="005B6B56">
        <w:rPr>
          <w:lang w:val="en-GB"/>
        </w:rPr>
        <w:t xml:space="preserve">are different from the ones </w:t>
      </w:r>
      <w:r>
        <w:rPr>
          <w:lang w:val="en-GB"/>
        </w:rPr>
        <w:t xml:space="preserve">used on the definition of the RRM requirements for NR UEs, RAN4 is </w:t>
      </w:r>
      <w:r w:rsidR="00463E28">
        <w:rPr>
          <w:lang w:val="en-GB"/>
        </w:rPr>
        <w:t xml:space="preserve">currently </w:t>
      </w:r>
      <w:r>
        <w:rPr>
          <w:lang w:val="en-GB"/>
        </w:rPr>
        <w:t xml:space="preserve">working on defining requirements for RedCap </w:t>
      </w:r>
      <w:r w:rsidR="00463E28">
        <w:rPr>
          <w:lang w:val="en-GB"/>
        </w:rPr>
        <w:t>UEs.</w:t>
      </w:r>
      <w:r w:rsidR="0023293D">
        <w:rPr>
          <w:lang w:val="en-GB"/>
        </w:rPr>
        <w:t xml:space="preserve"> In RAN4 #100e, the simulation assumptions for RLM and BFD requirements were agreed in </w:t>
      </w:r>
      <w:r w:rsidR="0023293D">
        <w:rPr>
          <w:color w:val="2B579A"/>
          <w:shd w:val="clear" w:color="auto" w:fill="E6E6E6"/>
          <w:lang w:val="en-GB"/>
        </w:rPr>
        <w:fldChar w:fldCharType="begin"/>
      </w:r>
      <w:r w:rsidR="0023293D">
        <w:rPr>
          <w:lang w:val="en-GB"/>
        </w:rPr>
        <w:instrText xml:space="preserve"> REF _Ref90882806 \r \h  \* MERGEFORMAT </w:instrText>
      </w:r>
      <w:r w:rsidR="0023293D">
        <w:rPr>
          <w:color w:val="2B579A"/>
          <w:shd w:val="clear" w:color="auto" w:fill="E6E6E6"/>
          <w:lang w:val="en-GB"/>
        </w:rPr>
      </w:r>
      <w:r w:rsidR="0023293D">
        <w:rPr>
          <w:color w:val="2B579A"/>
          <w:shd w:val="clear" w:color="auto" w:fill="E6E6E6"/>
          <w:lang w:val="en-GB"/>
        </w:rPr>
        <w:fldChar w:fldCharType="separate"/>
      </w:r>
      <w:r w:rsidR="0023293D">
        <w:rPr>
          <w:lang w:val="en-GB"/>
        </w:rPr>
        <w:t>[2]</w:t>
      </w:r>
      <w:r w:rsidR="0023293D">
        <w:rPr>
          <w:color w:val="2B579A"/>
          <w:shd w:val="clear" w:color="auto" w:fill="E6E6E6"/>
          <w:lang w:val="en-GB"/>
        </w:rPr>
        <w:fldChar w:fldCharType="end"/>
      </w:r>
      <w:r w:rsidR="0023293D">
        <w:rPr>
          <w:lang w:val="en-GB"/>
        </w:rPr>
        <w:t>, and in RAN4 #101</w:t>
      </w:r>
      <w:proofErr w:type="gramStart"/>
      <w:r w:rsidR="0023293D">
        <w:rPr>
          <w:lang w:val="en-GB"/>
        </w:rPr>
        <w:t>e ,</w:t>
      </w:r>
      <w:proofErr w:type="gramEnd"/>
      <w:r w:rsidR="0023293D">
        <w:rPr>
          <w:lang w:val="en-GB"/>
        </w:rPr>
        <w:t xml:space="preserve"> #101bis-e, and RAN4 #102 companies brought the simulation results.</w:t>
      </w:r>
    </w:p>
    <w:p w14:paraId="061B52F5" w14:textId="42EB29E6" w:rsidR="001609C2" w:rsidRDefault="0023293D" w:rsidP="00416C69">
      <w:pPr>
        <w:jc w:val="both"/>
        <w:rPr>
          <w:lang w:val="en-GB"/>
        </w:rPr>
      </w:pPr>
      <w:r>
        <w:rPr>
          <w:lang w:val="en-GB"/>
        </w:rPr>
        <w:t>In this document, we continue the discussions of the RLM and BFD requirements for RedCap UEs, based on the open issues from RAN4 #102e, listed below:</w:t>
      </w:r>
    </w:p>
    <w:tbl>
      <w:tblPr>
        <w:tblStyle w:val="TableGrid"/>
        <w:tblpPr w:leftFromText="141" w:rightFromText="141" w:vertAnchor="page" w:horzAnchor="margin" w:tblpY="9511"/>
        <w:tblW w:w="0" w:type="auto"/>
        <w:tblLook w:val="04A0" w:firstRow="1" w:lastRow="0" w:firstColumn="1" w:lastColumn="0" w:noHBand="0" w:noVBand="1"/>
      </w:tblPr>
      <w:tblGrid>
        <w:gridCol w:w="9617"/>
      </w:tblGrid>
      <w:tr w:rsidR="0023293D" w14:paraId="26F0FC85" w14:textId="77777777" w:rsidTr="0023293D">
        <w:tc>
          <w:tcPr>
            <w:tcW w:w="9617" w:type="dxa"/>
          </w:tcPr>
          <w:p w14:paraId="623DB9BF" w14:textId="77777777" w:rsidR="0023293D" w:rsidRPr="0023293D" w:rsidRDefault="0023293D" w:rsidP="0023293D">
            <w:pPr>
              <w:pStyle w:val="Heading1"/>
              <w:jc w:val="both"/>
              <w:outlineLvl w:val="0"/>
              <w:rPr>
                <w:color w:val="auto"/>
              </w:rPr>
            </w:pPr>
            <w:r w:rsidRPr="0023293D">
              <w:rPr>
                <w:color w:val="auto"/>
              </w:rPr>
              <w:t xml:space="preserve">Open issues on ‘Signaling characteristics’ </w:t>
            </w:r>
          </w:p>
          <w:p w14:paraId="750BC84C" w14:textId="77777777" w:rsidR="0023293D" w:rsidRPr="0023293D" w:rsidRDefault="0023293D" w:rsidP="0023293D">
            <w:pPr>
              <w:numPr>
                <w:ilvl w:val="2"/>
                <w:numId w:val="25"/>
              </w:numPr>
              <w:autoSpaceDN w:val="0"/>
              <w:spacing w:after="120" w:line="256" w:lineRule="auto"/>
              <w:jc w:val="both"/>
              <w:rPr>
                <w:color w:val="000000" w:themeColor="text1"/>
                <w:lang w:val="sv-SE"/>
              </w:rPr>
            </w:pPr>
            <w:r w:rsidRPr="0023293D">
              <w:rPr>
                <w:color w:val="000000" w:themeColor="text1"/>
                <w:lang w:val="sv-SE"/>
              </w:rPr>
              <w:t>BFD</w:t>
            </w:r>
          </w:p>
          <w:p w14:paraId="60100BBC" w14:textId="77777777" w:rsidR="0023293D" w:rsidRPr="0023293D" w:rsidRDefault="0023293D" w:rsidP="0023293D">
            <w:pPr>
              <w:autoSpaceDN w:val="0"/>
              <w:spacing w:after="120" w:line="256" w:lineRule="auto"/>
              <w:jc w:val="both"/>
              <w:rPr>
                <w:b/>
                <w:color w:val="000000" w:themeColor="text1"/>
                <w:u w:val="single"/>
                <w:lang w:val="en-GB"/>
              </w:rPr>
            </w:pPr>
            <w:r w:rsidRPr="0023293D">
              <w:rPr>
                <w:b/>
                <w:color w:val="000000" w:themeColor="text1"/>
                <w:u w:val="single"/>
                <w:lang w:val="en-GB"/>
              </w:rPr>
              <w:t>SSB-based based BFD: evaluation period for FR1 and FR2</w:t>
            </w:r>
          </w:p>
          <w:p w14:paraId="629F1C83" w14:textId="77777777" w:rsidR="0023293D" w:rsidRPr="0023293D" w:rsidRDefault="0023293D" w:rsidP="0023293D">
            <w:pPr>
              <w:numPr>
                <w:ilvl w:val="1"/>
                <w:numId w:val="26"/>
              </w:numPr>
              <w:autoSpaceDN w:val="0"/>
              <w:spacing w:after="120" w:line="256" w:lineRule="auto"/>
              <w:jc w:val="both"/>
              <w:rPr>
                <w:color w:val="000000" w:themeColor="text1"/>
                <w:lang w:val="en-GB"/>
              </w:rPr>
            </w:pPr>
            <w:r w:rsidRPr="0023293D">
              <w:rPr>
                <w:b/>
                <w:bCs/>
                <w:color w:val="000000" w:themeColor="text1"/>
                <w:lang w:val="en-GB"/>
              </w:rPr>
              <w:t>Option 1 (HW, E///, OPPO, Nokia, vivo):</w:t>
            </w:r>
            <w:r w:rsidRPr="0023293D">
              <w:rPr>
                <w:color w:val="000000" w:themeColor="text1"/>
                <w:lang w:val="en-GB"/>
              </w:rPr>
              <w:t xml:space="preserve"> No need to extend the evaluation period for BFD compared to legacy evaluation period.</w:t>
            </w:r>
          </w:p>
          <w:p w14:paraId="0D15B90A" w14:textId="77777777" w:rsidR="0023293D" w:rsidRPr="0023293D" w:rsidRDefault="0023293D" w:rsidP="0023293D">
            <w:pPr>
              <w:numPr>
                <w:ilvl w:val="1"/>
                <w:numId w:val="26"/>
              </w:numPr>
              <w:autoSpaceDN w:val="0"/>
              <w:spacing w:after="120" w:line="256" w:lineRule="auto"/>
              <w:jc w:val="both"/>
              <w:rPr>
                <w:color w:val="000000" w:themeColor="text1"/>
                <w:lang w:val="en-GB"/>
              </w:rPr>
            </w:pPr>
            <w:r w:rsidRPr="0023293D">
              <w:rPr>
                <w:b/>
                <w:bCs/>
                <w:color w:val="000000" w:themeColor="text1"/>
                <w:lang w:val="en-GB"/>
              </w:rPr>
              <w:t xml:space="preserve">Option 2 (Apple, MTK, QC): </w:t>
            </w:r>
            <w:r w:rsidRPr="0023293D">
              <w:rPr>
                <w:color w:val="000000" w:themeColor="text1"/>
                <w:lang w:val="en-GB"/>
              </w:rPr>
              <w:t>Set SSB based BFD evaluation period to be extended by a factor of 2 (10 samples) for 1Rx UE.</w:t>
            </w:r>
          </w:p>
          <w:p w14:paraId="15687A3E" w14:textId="77777777" w:rsidR="0023293D" w:rsidRPr="0023293D" w:rsidRDefault="0023293D" w:rsidP="0023293D">
            <w:pPr>
              <w:numPr>
                <w:ilvl w:val="2"/>
                <w:numId w:val="25"/>
              </w:numPr>
              <w:autoSpaceDN w:val="0"/>
              <w:spacing w:after="120" w:line="256" w:lineRule="auto"/>
              <w:jc w:val="both"/>
              <w:rPr>
                <w:color w:val="000000" w:themeColor="text1"/>
              </w:rPr>
            </w:pPr>
            <w:r w:rsidRPr="0023293D">
              <w:rPr>
                <w:color w:val="000000" w:themeColor="text1"/>
              </w:rPr>
              <w:t>CBD including L1-RSRP measurements</w:t>
            </w:r>
          </w:p>
          <w:p w14:paraId="64266C8C" w14:textId="77777777" w:rsidR="0023293D" w:rsidRPr="0023293D" w:rsidRDefault="0023293D" w:rsidP="0023293D">
            <w:pPr>
              <w:numPr>
                <w:ilvl w:val="2"/>
                <w:numId w:val="25"/>
              </w:numPr>
              <w:autoSpaceDN w:val="0"/>
              <w:spacing w:after="120" w:line="256" w:lineRule="auto"/>
              <w:jc w:val="both"/>
              <w:rPr>
                <w:color w:val="000000" w:themeColor="text1"/>
              </w:rPr>
            </w:pPr>
            <w:r w:rsidRPr="0023293D">
              <w:rPr>
                <w:color w:val="000000" w:themeColor="text1"/>
              </w:rPr>
              <w:t>Sub-topic 4-3 CBD including L1-RSRP measurements</w:t>
            </w:r>
          </w:p>
          <w:p w14:paraId="311F1066" w14:textId="77777777" w:rsidR="0023293D" w:rsidRPr="0023293D" w:rsidRDefault="0023293D" w:rsidP="0023293D">
            <w:pPr>
              <w:autoSpaceDN w:val="0"/>
              <w:spacing w:after="120" w:line="256" w:lineRule="auto"/>
              <w:jc w:val="both"/>
              <w:rPr>
                <w:b/>
                <w:color w:val="000000" w:themeColor="text1"/>
                <w:u w:val="single"/>
                <w:lang w:val="en-GB"/>
              </w:rPr>
            </w:pPr>
            <w:r w:rsidRPr="0023293D">
              <w:rPr>
                <w:b/>
                <w:color w:val="000000" w:themeColor="text1"/>
                <w:u w:val="single"/>
                <w:lang w:val="en-GB"/>
              </w:rPr>
              <w:t>Whether relaxed L1-RSRP requirements applies to both intra- and inter-frequency</w:t>
            </w:r>
          </w:p>
          <w:p w14:paraId="0FC4F538" w14:textId="77777777" w:rsidR="0023293D" w:rsidRPr="0023293D" w:rsidRDefault="0023293D" w:rsidP="0023293D">
            <w:pPr>
              <w:autoSpaceDN w:val="0"/>
              <w:spacing w:after="120" w:line="256" w:lineRule="auto"/>
              <w:jc w:val="both"/>
              <w:rPr>
                <w:color w:val="000000" w:themeColor="text1"/>
                <w:lang w:val="en-GB"/>
              </w:rPr>
            </w:pPr>
            <w:r w:rsidRPr="0023293D">
              <w:rPr>
                <w:bCs/>
                <w:color w:val="000000" w:themeColor="text1"/>
                <w:lang w:val="en-GB"/>
              </w:rPr>
              <w:t>FFS: The relaxed L1-RSRP requirements (absolute and relative accuracy) apply to both intra- and inter-frequency measurements.</w:t>
            </w:r>
          </w:p>
          <w:p w14:paraId="120028DB" w14:textId="77777777" w:rsidR="0023293D" w:rsidRPr="0023293D" w:rsidRDefault="0023293D" w:rsidP="0023293D">
            <w:pPr>
              <w:autoSpaceDN w:val="0"/>
              <w:spacing w:after="120" w:line="256" w:lineRule="auto"/>
              <w:jc w:val="both"/>
              <w:rPr>
                <w:b/>
                <w:color w:val="000000" w:themeColor="text1"/>
                <w:u w:val="single"/>
                <w:lang w:val="en-GB"/>
              </w:rPr>
            </w:pPr>
            <w:r w:rsidRPr="0023293D">
              <w:rPr>
                <w:b/>
                <w:color w:val="000000" w:themeColor="text1"/>
                <w:u w:val="single"/>
                <w:lang w:val="en-GB"/>
              </w:rPr>
              <w:t>SSB-based L1-RSRP measurements: absolute accuracy with measurement restriction in FR1</w:t>
            </w:r>
          </w:p>
          <w:p w14:paraId="2B2C2649" w14:textId="77777777" w:rsidR="0023293D" w:rsidRPr="0023293D" w:rsidRDefault="0023293D" w:rsidP="0023293D">
            <w:pPr>
              <w:numPr>
                <w:ilvl w:val="1"/>
                <w:numId w:val="26"/>
              </w:numPr>
              <w:autoSpaceDN w:val="0"/>
              <w:spacing w:after="120" w:line="256" w:lineRule="auto"/>
              <w:jc w:val="both"/>
              <w:rPr>
                <w:b/>
                <w:bCs/>
                <w:color w:val="000000" w:themeColor="text1"/>
                <w:lang w:val="en-GB"/>
              </w:rPr>
            </w:pPr>
            <w:r w:rsidRPr="0023293D">
              <w:rPr>
                <w:b/>
                <w:bCs/>
                <w:color w:val="000000" w:themeColor="text1"/>
                <w:lang w:val="en-GB"/>
              </w:rPr>
              <w:t>Option 1 (Apple, vivo, HW, E///, MTK, Nokia):</w:t>
            </w:r>
          </w:p>
          <w:p w14:paraId="57C5985C" w14:textId="77777777" w:rsidR="0023293D" w:rsidRPr="0023293D" w:rsidRDefault="0023293D" w:rsidP="0023293D">
            <w:pPr>
              <w:numPr>
                <w:ilvl w:val="2"/>
                <w:numId w:val="26"/>
              </w:numPr>
              <w:autoSpaceDN w:val="0"/>
              <w:spacing w:after="120" w:line="256" w:lineRule="auto"/>
              <w:jc w:val="both"/>
              <w:rPr>
                <w:color w:val="000000" w:themeColor="text1"/>
                <w:lang w:val="en-GB"/>
              </w:rPr>
            </w:pPr>
            <w:r w:rsidRPr="0023293D">
              <w:rPr>
                <w:color w:val="000000" w:themeColor="text1"/>
              </w:rPr>
              <w:t>Relax the current absolute L1-RSRP accuracy by 3 dB</w:t>
            </w:r>
            <w:r w:rsidRPr="0023293D">
              <w:rPr>
                <w:bCs/>
                <w:color w:val="000000" w:themeColor="text1"/>
                <w:lang w:val="en-GB"/>
              </w:rPr>
              <w:t xml:space="preserve"> when 1Rx is used compared with the legacy UE</w:t>
            </w:r>
            <w:r w:rsidRPr="0023293D">
              <w:rPr>
                <w:color w:val="000000" w:themeColor="text1"/>
              </w:rPr>
              <w:t xml:space="preserve">.  </w:t>
            </w:r>
          </w:p>
          <w:p w14:paraId="5272D318" w14:textId="77777777" w:rsidR="0023293D" w:rsidRPr="0023293D" w:rsidRDefault="0023293D" w:rsidP="0023293D">
            <w:pPr>
              <w:autoSpaceDN w:val="0"/>
              <w:spacing w:after="120" w:line="256" w:lineRule="auto"/>
              <w:jc w:val="both"/>
              <w:rPr>
                <w:b/>
                <w:color w:val="000000" w:themeColor="text1"/>
                <w:u w:val="single"/>
                <w:lang w:val="en-GB"/>
              </w:rPr>
            </w:pPr>
            <w:r w:rsidRPr="0023293D">
              <w:rPr>
                <w:b/>
                <w:color w:val="000000" w:themeColor="text1"/>
                <w:u w:val="single"/>
                <w:lang w:val="en-GB"/>
              </w:rPr>
              <w:t>SSB-based L1-RSRP measurements: relative accuracy with measurement restriction in FR1</w:t>
            </w:r>
          </w:p>
          <w:p w14:paraId="1A19191C" w14:textId="77777777" w:rsidR="0023293D" w:rsidRPr="0023293D" w:rsidRDefault="0023293D" w:rsidP="0023293D">
            <w:pPr>
              <w:numPr>
                <w:ilvl w:val="1"/>
                <w:numId w:val="26"/>
              </w:numPr>
              <w:autoSpaceDN w:val="0"/>
              <w:spacing w:after="120" w:line="256" w:lineRule="auto"/>
              <w:jc w:val="both"/>
              <w:rPr>
                <w:b/>
                <w:bCs/>
                <w:color w:val="000000" w:themeColor="text1"/>
                <w:lang w:val="en-GB"/>
              </w:rPr>
            </w:pPr>
            <w:r w:rsidRPr="0023293D">
              <w:rPr>
                <w:b/>
                <w:bCs/>
                <w:color w:val="000000" w:themeColor="text1"/>
                <w:lang w:val="en-GB"/>
              </w:rPr>
              <w:t>Option 1 (Apple, HW, E///, MTK, Nokia, vivo):</w:t>
            </w:r>
          </w:p>
          <w:p w14:paraId="4FE51565" w14:textId="77777777" w:rsidR="0023293D" w:rsidRPr="0023293D" w:rsidRDefault="0023293D" w:rsidP="0023293D">
            <w:pPr>
              <w:numPr>
                <w:ilvl w:val="2"/>
                <w:numId w:val="26"/>
              </w:numPr>
              <w:autoSpaceDN w:val="0"/>
              <w:spacing w:after="120" w:line="256" w:lineRule="auto"/>
              <w:jc w:val="both"/>
              <w:rPr>
                <w:color w:val="000000" w:themeColor="text1"/>
                <w:lang w:val="en-GB"/>
              </w:rPr>
            </w:pPr>
            <w:r w:rsidRPr="0023293D">
              <w:rPr>
                <w:color w:val="000000" w:themeColor="text1"/>
              </w:rPr>
              <w:lastRenderedPageBreak/>
              <w:t>Relax the relative L1-RSRP accuracy by 3dB</w:t>
            </w:r>
          </w:p>
          <w:p w14:paraId="2272B5CF" w14:textId="77777777" w:rsidR="0023293D" w:rsidRPr="0023293D" w:rsidRDefault="0023293D" w:rsidP="0023293D">
            <w:pPr>
              <w:autoSpaceDN w:val="0"/>
              <w:spacing w:after="120" w:line="256" w:lineRule="auto"/>
              <w:jc w:val="both"/>
              <w:rPr>
                <w:b/>
                <w:color w:val="000000" w:themeColor="text1"/>
                <w:u w:val="single"/>
                <w:lang w:val="en-GB"/>
              </w:rPr>
            </w:pPr>
            <w:r w:rsidRPr="0023293D">
              <w:rPr>
                <w:b/>
                <w:color w:val="000000" w:themeColor="text1"/>
                <w:u w:val="single"/>
                <w:lang w:val="en-GB"/>
              </w:rPr>
              <w:t>CSI-RS based L1-RSRP measurements: absolute accuracy with measurement restriction in FR1</w:t>
            </w:r>
          </w:p>
          <w:p w14:paraId="25B5922E" w14:textId="77777777" w:rsidR="0023293D" w:rsidRPr="0023293D" w:rsidRDefault="0023293D" w:rsidP="0023293D">
            <w:pPr>
              <w:numPr>
                <w:ilvl w:val="1"/>
                <w:numId w:val="26"/>
              </w:numPr>
              <w:autoSpaceDN w:val="0"/>
              <w:spacing w:after="120" w:line="256" w:lineRule="auto"/>
              <w:jc w:val="both"/>
              <w:rPr>
                <w:b/>
                <w:bCs/>
                <w:color w:val="000000" w:themeColor="text1"/>
                <w:lang w:val="en-GB"/>
              </w:rPr>
            </w:pPr>
            <w:r w:rsidRPr="0023293D">
              <w:rPr>
                <w:b/>
                <w:bCs/>
                <w:color w:val="000000" w:themeColor="text1"/>
                <w:lang w:val="en-GB"/>
              </w:rPr>
              <w:t>Option 1 (Apple, vivo, HW, E///, MTK, Nokia):</w:t>
            </w:r>
          </w:p>
          <w:p w14:paraId="41B5A93B" w14:textId="77777777" w:rsidR="0023293D" w:rsidRPr="0023293D" w:rsidRDefault="0023293D" w:rsidP="0023293D">
            <w:pPr>
              <w:numPr>
                <w:ilvl w:val="2"/>
                <w:numId w:val="26"/>
              </w:numPr>
              <w:autoSpaceDN w:val="0"/>
              <w:spacing w:after="120" w:line="256" w:lineRule="auto"/>
              <w:jc w:val="both"/>
              <w:rPr>
                <w:bCs/>
                <w:i/>
                <w:iCs/>
                <w:color w:val="000000" w:themeColor="text1"/>
                <w:lang w:val="en-GB"/>
              </w:rPr>
            </w:pPr>
            <w:r w:rsidRPr="0023293D">
              <w:rPr>
                <w:color w:val="000000" w:themeColor="text1"/>
              </w:rPr>
              <w:t xml:space="preserve">By 3 dB </w:t>
            </w:r>
            <w:r w:rsidRPr="0023293D">
              <w:rPr>
                <w:bCs/>
                <w:color w:val="000000" w:themeColor="text1"/>
                <w:lang w:val="en-GB"/>
              </w:rPr>
              <w:t>when 1Rx is used compared with the legacy UE.</w:t>
            </w:r>
          </w:p>
          <w:p w14:paraId="712A10F3" w14:textId="77777777" w:rsidR="0023293D" w:rsidRPr="0023293D" w:rsidRDefault="0023293D" w:rsidP="0023293D">
            <w:pPr>
              <w:numPr>
                <w:ilvl w:val="2"/>
                <w:numId w:val="27"/>
              </w:numPr>
              <w:autoSpaceDN w:val="0"/>
              <w:spacing w:after="120" w:line="256" w:lineRule="auto"/>
              <w:jc w:val="both"/>
              <w:rPr>
                <w:color w:val="000000" w:themeColor="text1"/>
                <w:lang w:val="sv-SE"/>
              </w:rPr>
            </w:pPr>
            <w:proofErr w:type="spellStart"/>
            <w:r w:rsidRPr="0023293D">
              <w:rPr>
                <w:color w:val="000000" w:themeColor="text1"/>
                <w:lang w:val="sv-SE"/>
              </w:rPr>
              <w:t>Sub-topic</w:t>
            </w:r>
            <w:proofErr w:type="spellEnd"/>
            <w:r w:rsidRPr="0023293D">
              <w:rPr>
                <w:color w:val="000000" w:themeColor="text1"/>
                <w:lang w:val="sv-SE"/>
              </w:rPr>
              <w:t xml:space="preserve"> BWP </w:t>
            </w:r>
            <w:proofErr w:type="spellStart"/>
            <w:r w:rsidRPr="0023293D">
              <w:rPr>
                <w:color w:val="000000" w:themeColor="text1"/>
                <w:lang w:val="sv-SE"/>
              </w:rPr>
              <w:t>switching</w:t>
            </w:r>
            <w:proofErr w:type="spellEnd"/>
          </w:p>
          <w:p w14:paraId="75D93648" w14:textId="77777777" w:rsidR="0023293D" w:rsidRPr="0023293D" w:rsidRDefault="0023293D" w:rsidP="0023293D">
            <w:pPr>
              <w:autoSpaceDN w:val="0"/>
              <w:spacing w:after="120" w:line="256" w:lineRule="auto"/>
              <w:jc w:val="both"/>
              <w:rPr>
                <w:color w:val="000000" w:themeColor="text1"/>
                <w:lang w:val="en-GB"/>
              </w:rPr>
            </w:pPr>
            <w:r w:rsidRPr="0023293D">
              <w:rPr>
                <w:b/>
                <w:color w:val="000000" w:themeColor="text1"/>
                <w:u w:val="single"/>
                <w:lang w:val="en-GB"/>
              </w:rPr>
              <w:t>Whether to introduce L1 measurement gaps for performing receiving SSB outside active BWP in Rel-17</w:t>
            </w:r>
          </w:p>
          <w:p w14:paraId="290459AD" w14:textId="77777777" w:rsidR="0023293D" w:rsidRPr="0023293D" w:rsidRDefault="0023293D" w:rsidP="0023293D">
            <w:pPr>
              <w:autoSpaceDN w:val="0"/>
              <w:spacing w:after="120" w:line="256" w:lineRule="auto"/>
              <w:jc w:val="both"/>
              <w:rPr>
                <w:color w:val="000000" w:themeColor="text1"/>
                <w:lang w:val="en-GB"/>
              </w:rPr>
            </w:pPr>
            <w:r w:rsidRPr="0023293D">
              <w:rPr>
                <w:bCs/>
                <w:color w:val="000000" w:themeColor="text1"/>
                <w:lang w:val="en-GB"/>
              </w:rPr>
              <w:t xml:space="preserve">FFS: RAN4 agrees to not </w:t>
            </w:r>
            <w:r w:rsidRPr="0023293D">
              <w:rPr>
                <w:color w:val="000000" w:themeColor="text1"/>
                <w:lang w:val="en-GB"/>
              </w:rPr>
              <w:t>introduce L1 measurement gaps for acquiring SSB outside active BWP for RedCap UE in Release 17.</w:t>
            </w:r>
          </w:p>
        </w:tc>
      </w:tr>
    </w:tbl>
    <w:p w14:paraId="41E7D1A8" w14:textId="77777777" w:rsidR="0023293D" w:rsidRDefault="0023293D" w:rsidP="00416C69">
      <w:pPr>
        <w:jc w:val="both"/>
        <w:rPr>
          <w:lang w:val="en-GB"/>
        </w:rPr>
      </w:pPr>
    </w:p>
    <w:p w14:paraId="5E6E091D" w14:textId="2678C2CA" w:rsidR="003B659E" w:rsidRDefault="0023293D" w:rsidP="00AE56B1">
      <w:pPr>
        <w:pStyle w:val="RAN4H1"/>
      </w:pPr>
      <w:r>
        <w:t>SSB</w:t>
      </w:r>
      <w:r w:rsidR="00FF1ABB">
        <w:t>-</w:t>
      </w:r>
      <w:r>
        <w:t>based BFD evaluation period</w:t>
      </w:r>
    </w:p>
    <w:p w14:paraId="24728C8A" w14:textId="30274B8E" w:rsidR="0056297F" w:rsidRDefault="003A17A8" w:rsidP="0056297F">
      <w:pPr>
        <w:rPr>
          <w:lang w:val="en-GB"/>
        </w:rPr>
      </w:pPr>
      <w:r>
        <w:rPr>
          <w:lang w:val="en-GB"/>
        </w:rPr>
        <w:t>There</w:t>
      </w:r>
      <w:r w:rsidR="0023293D">
        <w:rPr>
          <w:lang w:val="en-GB"/>
        </w:rPr>
        <w:t xml:space="preserve"> was no consensus on extending the BFD evaluation period for 1 Rx RedCap UE</w:t>
      </w:r>
      <w:r>
        <w:rPr>
          <w:lang w:val="en-GB"/>
        </w:rPr>
        <w:t xml:space="preserve">. In RAN4 #101bis, there was a general understanding that this requirement should follow the corresponding agreements for RLM, but there it was not clear whether RAN4 should follow the agreements for RLM IS evaluation period or RLM OOS evaluation period. </w:t>
      </w:r>
    </w:p>
    <w:p w14:paraId="13BD2EE7" w14:textId="2417F108" w:rsidR="003A17A8" w:rsidRPr="0056297F" w:rsidRDefault="003A17A8" w:rsidP="0056297F">
      <w:pPr>
        <w:rPr>
          <w:lang w:val="en-GB"/>
        </w:rPr>
      </w:pPr>
      <w:r>
        <w:rPr>
          <w:lang w:val="en-GB"/>
        </w:rPr>
        <w:t>For RedCap UEs with 1 Rx, RAN4 has agreed to extend the RLM OOS evaluation period by a factor of 2 and to keep the RLM IS evaluation period the same as defined in Rel-15 requirements.</w:t>
      </w:r>
    </w:p>
    <w:p w14:paraId="3E6C2F71" w14:textId="3E1E29FD" w:rsidR="003A17A8" w:rsidRDefault="003A17A8" w:rsidP="003A17A8">
      <w:r>
        <w:t xml:space="preserve">The Rel-15 requirements for BFD follow the evaluation period for in-sync evaluations, which leads to an evaluation period based on 5 samples. However, the BFD procedure considers a BLER of 10%, </w:t>
      </w:r>
      <w:r w:rsidR="009B0591">
        <w:t xml:space="preserve">as in RLM OOS. The side condition for evaluation, though, is higher for the BFD procedure than for the RLM OOS evaluation. </w:t>
      </w:r>
    </w:p>
    <w:p w14:paraId="52C7B1D6" w14:textId="781F3AC4" w:rsidR="003A17A8" w:rsidRDefault="003A17A8" w:rsidP="001F3AD0">
      <w:pPr>
        <w:pStyle w:val="RAN4observation0"/>
      </w:pPr>
      <w:r>
        <w:t>The Rel-15 beam failure detection evaluation period is based on 5 samples, which is the same evaluation period used for in-sync evaluations.</w:t>
      </w:r>
      <w:r w:rsidR="009B0591">
        <w:t xml:space="preserve"> </w:t>
      </w:r>
      <w:r>
        <w:t>It was agreed that the period for in-sync evaluation for RedCap UEs with 1 Rx is not extended in comparison to the Rel-15 evaluation period.</w:t>
      </w:r>
    </w:p>
    <w:p w14:paraId="29FAB88A" w14:textId="7A5FE8F0" w:rsidR="009B0591" w:rsidRDefault="009B0591" w:rsidP="009B0591">
      <w:pPr>
        <w:pStyle w:val="RAN4observation0"/>
      </w:pPr>
      <w:r>
        <w:t xml:space="preserve">The hypothetical PDCCH parameters for RLM IS / OOS </w:t>
      </w:r>
      <w:r w:rsidR="00FA316B">
        <w:t>and BFD</w:t>
      </w:r>
      <w:r w:rsidR="009975FB">
        <w:t xml:space="preserve"> for RedCap UEs with 1 Rx</w:t>
      </w:r>
      <w:r w:rsidR="00FA316B">
        <w:t xml:space="preserve"> </w:t>
      </w:r>
      <w:r>
        <w:t xml:space="preserve">were changed to compensate for the </w:t>
      </w:r>
      <w:r w:rsidR="00FA316B">
        <w:t xml:space="preserve">degradation in accuracy. </w:t>
      </w:r>
    </w:p>
    <w:p w14:paraId="611E5B73" w14:textId="28643DBA" w:rsidR="009B0591" w:rsidRDefault="00FA316B" w:rsidP="009B0591">
      <w:pPr>
        <w:pStyle w:val="RAN4observation0"/>
      </w:pPr>
      <w:r>
        <w:t xml:space="preserve">The SNR side condition for BFD evaluation is higher than the one for RLM OOS. </w:t>
      </w:r>
    </w:p>
    <w:p w14:paraId="1466E43E" w14:textId="4EB5B8DA" w:rsidR="00FA316B" w:rsidRDefault="00FA316B" w:rsidP="00FA316B">
      <w:pPr>
        <w:pStyle w:val="RAN4proposal"/>
      </w:pPr>
      <w:r>
        <w:t>For SSB-based</w:t>
      </w:r>
      <w:r w:rsidR="009975FB">
        <w:t xml:space="preserve"> or CSI-RS-based</w:t>
      </w:r>
      <w:r>
        <w:t xml:space="preserve"> BFD: do not extend the evaluation period.</w:t>
      </w:r>
    </w:p>
    <w:p w14:paraId="39EC0A23" w14:textId="241E6985" w:rsidR="00FF1ABB" w:rsidRDefault="00FF1ABB" w:rsidP="00FF1ABB">
      <w:pPr>
        <w:pStyle w:val="RAN4H1"/>
      </w:pPr>
      <w:r>
        <w:t>L1-RSRP measurement accuracy</w:t>
      </w:r>
    </w:p>
    <w:p w14:paraId="1C5264BB" w14:textId="214BAB58" w:rsidR="009975FB" w:rsidRDefault="00FF1ABB" w:rsidP="00FF1ABB">
      <w:pPr>
        <w:rPr>
          <w:lang w:val="en-GB"/>
        </w:rPr>
      </w:pPr>
      <w:r>
        <w:rPr>
          <w:lang w:val="en-GB"/>
        </w:rPr>
        <w:t>The L1-RSRP measurement accuracy</w:t>
      </w:r>
      <w:r w:rsidR="009975FB">
        <w:rPr>
          <w:lang w:val="en-GB"/>
        </w:rPr>
        <w:t xml:space="preserve"> was also discussed in RAN4 #102. While most of the companies supported the relaxation of 3dB in the absolute and relative accuracies, value that was originated from the worst degradation among all channels specified in the simulation assumptions, one company </w:t>
      </w:r>
      <w:r w:rsidR="00D632F9">
        <w:rPr>
          <w:lang w:val="en-GB"/>
        </w:rPr>
        <w:t>argued</w:t>
      </w:r>
      <w:r w:rsidR="009975FB">
        <w:rPr>
          <w:lang w:val="en-GB"/>
        </w:rPr>
        <w:t xml:space="preserve"> that the accuracy requirements in TS 38.133 are defined under the assumption that the Io EPRE is constant across the bandwidth. </w:t>
      </w:r>
    </w:p>
    <w:p w14:paraId="312A2396" w14:textId="42F07528" w:rsidR="009975FB" w:rsidRDefault="009975FB" w:rsidP="009975FB">
      <w:pPr>
        <w:pStyle w:val="RAN4observation0"/>
      </w:pPr>
      <w:r>
        <w:t>The accuracy requirements defined in TS 38.133 consider that the Io EPRE is constant across the bandwidth.</w:t>
      </w:r>
    </w:p>
    <w:p w14:paraId="3DC2DEFF" w14:textId="397995D2" w:rsidR="00FF1ABB" w:rsidRDefault="009975FB" w:rsidP="00FF1ABB">
      <w:pPr>
        <w:rPr>
          <w:lang w:val="en-GB"/>
        </w:rPr>
      </w:pPr>
      <w:r>
        <w:rPr>
          <w:lang w:val="en-GB"/>
        </w:rPr>
        <w:t xml:space="preserve">RAN4 should not change this assumption for RedCap UEs, therefore, we propose: </w:t>
      </w:r>
    </w:p>
    <w:p w14:paraId="3A0B548D" w14:textId="21850B53" w:rsidR="00AD1D39" w:rsidRDefault="009975FB" w:rsidP="00A47B25">
      <w:pPr>
        <w:pStyle w:val="RAN4proposal"/>
      </w:pPr>
      <w:r w:rsidRPr="00633F01">
        <w:rPr>
          <w:lang w:val="en-GB"/>
        </w:rPr>
        <w:t xml:space="preserve">The accuracy relaxation to RedCap UEs with 1 Rx is defined based on the </w:t>
      </w:r>
      <w:r w:rsidR="00633F01" w:rsidRPr="00633F01">
        <w:rPr>
          <w:lang w:val="en-GB"/>
        </w:rPr>
        <w:t xml:space="preserve">simulation results with AWGN. </w:t>
      </w:r>
    </w:p>
    <w:p w14:paraId="7868A778" w14:textId="5348DC8B" w:rsidR="00730C2F" w:rsidRDefault="00730C2F" w:rsidP="006E0054">
      <w:pPr>
        <w:pStyle w:val="RAN4H1"/>
      </w:pPr>
      <w:r>
        <w:t>Conclusion</w:t>
      </w:r>
    </w:p>
    <w:p w14:paraId="2D41917F" w14:textId="3B445E40" w:rsidR="00730C2F" w:rsidRDefault="00730C2F" w:rsidP="00730C2F">
      <w:pPr>
        <w:rPr>
          <w:lang w:val="en-GB"/>
        </w:rPr>
      </w:pPr>
      <w:r>
        <w:rPr>
          <w:lang w:val="en-GB"/>
        </w:rPr>
        <w:t>In this document, Nokia’s views on the signalling characteristics for RedCap UEs with 1 Rx branch are given. The following observations and proposals are discussed:</w:t>
      </w:r>
    </w:p>
    <w:p w14:paraId="69988FF7" w14:textId="77777777" w:rsidR="00633F01" w:rsidRDefault="00633F01" w:rsidP="00633F01">
      <w:pPr>
        <w:pStyle w:val="RAN4Observation"/>
        <w:numPr>
          <w:ilvl w:val="0"/>
          <w:numId w:val="29"/>
        </w:numPr>
      </w:pPr>
      <w:r>
        <w:t>The Rel-15 beam failure detection evaluation period is based on 5 samples, which is the same evaluation period used for in-sync evaluations. It was agreed that the period for in-sync evaluation for RedCap UEs with 1 Rx is not extended in comparison to the Rel-15 evaluation period.</w:t>
      </w:r>
    </w:p>
    <w:p w14:paraId="1CD7F942" w14:textId="77777777" w:rsidR="00633F01" w:rsidRDefault="00633F01" w:rsidP="00633F01">
      <w:pPr>
        <w:pStyle w:val="RAN4observation0"/>
      </w:pPr>
      <w:r>
        <w:lastRenderedPageBreak/>
        <w:t xml:space="preserve">The hypothetical PDCCH parameters for RLM IS / OOS and BFD for RedCap UEs with 1 Rx were changed to compensate for the degradation in accuracy. </w:t>
      </w:r>
    </w:p>
    <w:p w14:paraId="24821C7D" w14:textId="02510B3E" w:rsidR="00633F01" w:rsidRDefault="00633F01" w:rsidP="00633F01">
      <w:pPr>
        <w:pStyle w:val="RAN4observation0"/>
      </w:pPr>
      <w:r>
        <w:t xml:space="preserve">The SNR side condition for BFD evaluation is higher than the one for RLM OOS. </w:t>
      </w:r>
    </w:p>
    <w:p w14:paraId="113F7D86" w14:textId="77777777" w:rsidR="00633F01" w:rsidRDefault="00633F01" w:rsidP="00633F01">
      <w:pPr>
        <w:pStyle w:val="RAN4observation0"/>
      </w:pPr>
      <w:r>
        <w:t>The accuracy requirements defined in TS 38.133 consider that the Io EPRE is constant across the bandwidth.</w:t>
      </w:r>
    </w:p>
    <w:p w14:paraId="2E8BB423" w14:textId="2EC8CD78" w:rsidR="00633F01" w:rsidRDefault="00633F01" w:rsidP="00633F01">
      <w:pPr>
        <w:pStyle w:val="RAN4proposal"/>
        <w:numPr>
          <w:ilvl w:val="0"/>
          <w:numId w:val="30"/>
        </w:numPr>
      </w:pPr>
      <w:r>
        <w:t>For SSB-based or CSI-RS-based BFD: do not extend the evaluation period.</w:t>
      </w:r>
    </w:p>
    <w:p w14:paraId="48E08D46" w14:textId="3D3A1EAB" w:rsidR="00633F01" w:rsidRPr="00633F01" w:rsidRDefault="00633F01" w:rsidP="0074799E">
      <w:pPr>
        <w:pStyle w:val="RAN4proposal"/>
        <w:numPr>
          <w:ilvl w:val="0"/>
          <w:numId w:val="30"/>
        </w:numPr>
      </w:pPr>
      <w:r w:rsidRPr="00633F01">
        <w:rPr>
          <w:lang w:val="en-GB"/>
        </w:rPr>
        <w:t xml:space="preserve">The accuracy relaxation to RedCap UEs with 1 Rx is defined based on the simulation results with AWGN. </w:t>
      </w:r>
    </w:p>
    <w:p w14:paraId="6E61D21D" w14:textId="2C7AA715" w:rsidR="003B659E" w:rsidRPr="0095295C" w:rsidRDefault="003B659E" w:rsidP="006E0054">
      <w:pPr>
        <w:pStyle w:val="RAN4H1"/>
      </w:pPr>
      <w:r w:rsidRPr="0095295C">
        <w:t>References</w:t>
      </w:r>
    </w:p>
    <w:p w14:paraId="39C69540" w14:textId="28DE5FD7" w:rsidR="00687FA0" w:rsidRDefault="00D71ADA" w:rsidP="00AC5B60">
      <w:pPr>
        <w:pStyle w:val="ListParagraph"/>
        <w:numPr>
          <w:ilvl w:val="0"/>
          <w:numId w:val="5"/>
        </w:numPr>
        <w:ind w:right="-22"/>
        <w:rPr>
          <w:lang w:val="en-GB"/>
        </w:rPr>
      </w:pPr>
      <w:bookmarkStart w:id="3" w:name="_Ref90882663"/>
      <w:r>
        <w:rPr>
          <w:lang w:val="en-GB"/>
        </w:rPr>
        <w:t>RP-211574, “</w:t>
      </w:r>
      <w:r w:rsidRPr="00D71ADA">
        <w:rPr>
          <w:lang w:val="en-GB"/>
        </w:rPr>
        <w:t>Revised WID on support of reduced capability NR devices</w:t>
      </w:r>
      <w:r>
        <w:rPr>
          <w:lang w:val="en-GB"/>
        </w:rPr>
        <w:t>”, Ericsson</w:t>
      </w:r>
      <w:bookmarkEnd w:id="3"/>
    </w:p>
    <w:p w14:paraId="760F9325" w14:textId="1FD32FDB" w:rsidR="00D71ADA" w:rsidRDefault="00D71ADA" w:rsidP="00AC5B60">
      <w:pPr>
        <w:pStyle w:val="ListParagraph"/>
        <w:numPr>
          <w:ilvl w:val="0"/>
          <w:numId w:val="5"/>
        </w:numPr>
        <w:ind w:right="-22"/>
        <w:rPr>
          <w:lang w:val="en-GB"/>
        </w:rPr>
      </w:pPr>
      <w:bookmarkStart w:id="4" w:name="_Ref90882806"/>
      <w:r>
        <w:rPr>
          <w:lang w:val="en-GB"/>
        </w:rPr>
        <w:t>R4-2115361, “Simulation assumptions for RedCap RLM and BFD performance”, Ericsson</w:t>
      </w:r>
      <w:bookmarkEnd w:id="4"/>
    </w:p>
    <w:p w14:paraId="517974F5" w14:textId="7E686D97" w:rsidR="008F5C5C" w:rsidRPr="008F5C5C" w:rsidRDefault="008F5C5C" w:rsidP="00AC5B60">
      <w:pPr>
        <w:pStyle w:val="ListParagraph"/>
        <w:numPr>
          <w:ilvl w:val="0"/>
          <w:numId w:val="5"/>
        </w:numPr>
        <w:ind w:right="-22"/>
        <w:rPr>
          <w:lang w:val="en-GB"/>
        </w:rPr>
      </w:pPr>
      <w:bookmarkStart w:id="5" w:name="_Ref100737090"/>
      <w:bookmarkStart w:id="6" w:name="_Ref94880429"/>
      <w:r w:rsidRPr="008F5C5C">
        <w:rPr>
          <w:lang w:val="en-GB"/>
        </w:rPr>
        <w:t>R4-2206950, “WF on RedCap RRM Requirements”, RAN4 102 bis-e, Ericsson</w:t>
      </w:r>
      <w:bookmarkEnd w:id="5"/>
    </w:p>
    <w:p w14:paraId="18DA0605" w14:textId="0CE893C4" w:rsidR="00410250" w:rsidRPr="00410250" w:rsidRDefault="00410250" w:rsidP="00AC5B60">
      <w:pPr>
        <w:pStyle w:val="ListParagraph"/>
        <w:numPr>
          <w:ilvl w:val="0"/>
          <w:numId w:val="5"/>
        </w:numPr>
        <w:ind w:right="-22"/>
        <w:rPr>
          <w:rFonts w:cs="Times New Roman"/>
          <w:szCs w:val="20"/>
          <w:lang w:val="en-GB"/>
        </w:rPr>
      </w:pPr>
      <w:r w:rsidRPr="00410250">
        <w:rPr>
          <w:rFonts w:cs="Times New Roman"/>
          <w:szCs w:val="20"/>
        </w:rPr>
        <w:t>R4-2202670, “WF on RedCap RRM requirements”, RAN4 101-bis-e, Ericsson</w:t>
      </w:r>
      <w:bookmarkEnd w:id="6"/>
    </w:p>
    <w:p w14:paraId="7030C889" w14:textId="5D65B4A1" w:rsidR="005B6B56" w:rsidRDefault="005B6B56" w:rsidP="00AC5B60">
      <w:pPr>
        <w:pStyle w:val="ListParagraph"/>
        <w:numPr>
          <w:ilvl w:val="0"/>
          <w:numId w:val="5"/>
        </w:numPr>
        <w:ind w:right="-22"/>
        <w:rPr>
          <w:lang w:val="en-GB"/>
        </w:rPr>
      </w:pPr>
      <w:r>
        <w:rPr>
          <w:lang w:val="en-GB"/>
        </w:rPr>
        <w:t xml:space="preserve">R4-2120418, “WF on RedCap RRM requirements”, </w:t>
      </w:r>
      <w:r w:rsidR="00410250">
        <w:rPr>
          <w:lang w:val="en-GB"/>
        </w:rPr>
        <w:t xml:space="preserve">RAN4 101-e, </w:t>
      </w:r>
      <w:r>
        <w:rPr>
          <w:lang w:val="en-GB"/>
        </w:rPr>
        <w:t>Ericsson</w:t>
      </w:r>
    </w:p>
    <w:p w14:paraId="21CF5DF4" w14:textId="292495B5" w:rsidR="00FB5E1E" w:rsidRDefault="00FB5E1E" w:rsidP="00AC5B60">
      <w:pPr>
        <w:pStyle w:val="ListParagraph"/>
        <w:numPr>
          <w:ilvl w:val="0"/>
          <w:numId w:val="5"/>
        </w:numPr>
        <w:ind w:right="-22"/>
        <w:rPr>
          <w:lang w:val="en-GB"/>
        </w:rPr>
      </w:pPr>
      <w:bookmarkStart w:id="7" w:name="_Ref94881506"/>
      <w:r>
        <w:rPr>
          <w:lang w:val="en-GB"/>
        </w:rPr>
        <w:t>R4-2200867, “Simulation Results- RLM for RedCap UEs”, Nokia, Nokia Shanghai Bell</w:t>
      </w:r>
      <w:bookmarkEnd w:id="7"/>
    </w:p>
    <w:p w14:paraId="0FA72AD4" w14:textId="77777777" w:rsidR="006E0054" w:rsidRPr="006E0054" w:rsidRDefault="006E0054" w:rsidP="006E0054">
      <w:pPr>
        <w:ind w:right="-22"/>
        <w:rPr>
          <w:lang w:val="en-GB"/>
        </w:rPr>
      </w:pPr>
    </w:p>
    <w:sectPr w:rsidR="006E0054" w:rsidRPr="006E005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A5012" w14:textId="77777777" w:rsidR="0067702D" w:rsidRDefault="0067702D" w:rsidP="00001C9B">
      <w:pPr>
        <w:spacing w:after="0" w:line="240" w:lineRule="auto"/>
      </w:pPr>
      <w:r>
        <w:separator/>
      </w:r>
    </w:p>
  </w:endnote>
  <w:endnote w:type="continuationSeparator" w:id="0">
    <w:p w14:paraId="6A344F72" w14:textId="77777777" w:rsidR="0067702D" w:rsidRDefault="0067702D" w:rsidP="00001C9B">
      <w:pPr>
        <w:spacing w:after="0" w:line="240" w:lineRule="auto"/>
      </w:pPr>
      <w:r>
        <w:continuationSeparator/>
      </w:r>
    </w:p>
  </w:endnote>
  <w:endnote w:type="continuationNotice" w:id="1">
    <w:p w14:paraId="5948641C" w14:textId="77777777" w:rsidR="0067702D" w:rsidRDefault="006770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C6029" w14:textId="77777777" w:rsidR="0067702D" w:rsidRDefault="0067702D" w:rsidP="00001C9B">
      <w:pPr>
        <w:spacing w:after="0" w:line="240" w:lineRule="auto"/>
      </w:pPr>
      <w:r>
        <w:separator/>
      </w:r>
    </w:p>
  </w:footnote>
  <w:footnote w:type="continuationSeparator" w:id="0">
    <w:p w14:paraId="345E978E" w14:textId="77777777" w:rsidR="0067702D" w:rsidRDefault="0067702D" w:rsidP="00001C9B">
      <w:pPr>
        <w:spacing w:after="0" w:line="240" w:lineRule="auto"/>
      </w:pPr>
      <w:r>
        <w:continuationSeparator/>
      </w:r>
    </w:p>
  </w:footnote>
  <w:footnote w:type="continuationNotice" w:id="1">
    <w:p w14:paraId="224B88BD" w14:textId="77777777" w:rsidR="0067702D" w:rsidRDefault="0067702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A76B5"/>
    <w:multiLevelType w:val="hybridMultilevel"/>
    <w:tmpl w:val="85F6A60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30CE18A4"/>
    <w:multiLevelType w:val="hybridMultilevel"/>
    <w:tmpl w:val="1AA479C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3156739C"/>
    <w:multiLevelType w:val="hybridMultilevel"/>
    <w:tmpl w:val="F2123D00"/>
    <w:lvl w:ilvl="0" w:tplc="3210EC9A">
      <w:start w:val="6"/>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3AD37A3D"/>
    <w:multiLevelType w:val="multilevel"/>
    <w:tmpl w:val="A5203DDE"/>
    <w:lvl w:ilvl="0">
      <w:start w:val="10"/>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430F5553"/>
    <w:multiLevelType w:val="multilevel"/>
    <w:tmpl w:val="430F5553"/>
    <w:lvl w:ilvl="0">
      <w:start w:val="2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hybridMultilevel"/>
    <w:tmpl w:val="B82888E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31B42FA8"/>
    <w:lvl w:ilvl="0" w:tplc="C87E39FC">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3348" w:hanging="360"/>
      </w:p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0E384B"/>
    <w:multiLevelType w:val="multilevel"/>
    <w:tmpl w:val="920AF1C8"/>
    <w:lvl w:ilvl="0">
      <w:start w:val="2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574"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760C6F4F"/>
    <w:multiLevelType w:val="hybridMultilevel"/>
    <w:tmpl w:val="16F6308C"/>
    <w:lvl w:ilvl="0" w:tplc="04060001">
      <w:start w:val="1"/>
      <w:numFmt w:val="bullet"/>
      <w:lvlText w:val=""/>
      <w:lvlJc w:val="left"/>
      <w:pPr>
        <w:ind w:left="1080" w:hanging="360"/>
      </w:pPr>
      <w:rPr>
        <w:rFonts w:ascii="Symbol" w:hAnsi="Symbol"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15" w15:restartNumberingAfterBreak="0">
    <w:nsid w:val="7C3A7DA7"/>
    <w:multiLevelType w:val="hybridMultilevel"/>
    <w:tmpl w:val="75164DC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7"/>
  </w:num>
  <w:num w:numId="4">
    <w:abstractNumId w:val="12"/>
  </w:num>
  <w:num w:numId="5">
    <w:abstractNumId w:val="10"/>
  </w:num>
  <w:num w:numId="6">
    <w:abstractNumId w:val="14"/>
  </w:num>
  <w:num w:numId="7">
    <w:abstractNumId w:val="15"/>
  </w:num>
  <w:num w:numId="8">
    <w:abstractNumId w:val="1"/>
  </w:num>
  <w:num w:numId="9">
    <w:abstractNumId w:val="0"/>
  </w:num>
  <w:num w:numId="10">
    <w:abstractNumId w:val="7"/>
    <w:lvlOverride w:ilvl="0">
      <w:startOverride w:val="1"/>
    </w:lvlOverride>
  </w:num>
  <w:num w:numId="11">
    <w:abstractNumId w:val="6"/>
    <w:lvlOverride w:ilvl="0">
      <w:startOverride w:val="1"/>
    </w:lvlOverride>
  </w:num>
  <w:num w:numId="12">
    <w:abstractNumId w:val="4"/>
  </w:num>
  <w:num w:numId="13">
    <w:abstractNumId w:val="9"/>
  </w:num>
  <w:num w:numId="1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3"/>
  </w:num>
  <w:num w:numId="19">
    <w:abstractNumId w:val="11"/>
  </w:num>
  <w:num w:numId="20">
    <w:abstractNumId w:val="12"/>
  </w:num>
  <w:num w:numId="21">
    <w:abstractNumId w:val="12"/>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num>
  <w:num w:numId="24">
    <w:abstractNumId w:val="7"/>
    <w:lvlOverride w:ilvl="0">
      <w:startOverride w:val="1"/>
    </w:lvlOverride>
  </w:num>
  <w:num w:numId="2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6"/>
    <w:lvlOverride w:ilvl="0">
      <w:startOverride w:val="1"/>
    </w:lvlOverride>
  </w:num>
  <w:num w:numId="30">
    <w:abstractNumId w:val="7"/>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AUAEKNY1iwAAAA="/>
  </w:docVars>
  <w:rsids>
    <w:rsidRoot w:val="00841BCD"/>
    <w:rsid w:val="00001C9B"/>
    <w:rsid w:val="0000518A"/>
    <w:rsid w:val="000116B2"/>
    <w:rsid w:val="00014F96"/>
    <w:rsid w:val="000166F8"/>
    <w:rsid w:val="00023DBC"/>
    <w:rsid w:val="00042634"/>
    <w:rsid w:val="000429E2"/>
    <w:rsid w:val="0004728C"/>
    <w:rsid w:val="0005192D"/>
    <w:rsid w:val="0006364F"/>
    <w:rsid w:val="00064AAA"/>
    <w:rsid w:val="00067360"/>
    <w:rsid w:val="00071BD1"/>
    <w:rsid w:val="00073F14"/>
    <w:rsid w:val="00080BB3"/>
    <w:rsid w:val="0008612A"/>
    <w:rsid w:val="0008713A"/>
    <w:rsid w:val="00090E18"/>
    <w:rsid w:val="000940AF"/>
    <w:rsid w:val="00094F8B"/>
    <w:rsid w:val="000A3124"/>
    <w:rsid w:val="000A3B69"/>
    <w:rsid w:val="000A5926"/>
    <w:rsid w:val="000A649F"/>
    <w:rsid w:val="000A7DCE"/>
    <w:rsid w:val="000B0056"/>
    <w:rsid w:val="000B14BD"/>
    <w:rsid w:val="000B20CD"/>
    <w:rsid w:val="000C76BA"/>
    <w:rsid w:val="000D3010"/>
    <w:rsid w:val="000D340F"/>
    <w:rsid w:val="000D3467"/>
    <w:rsid w:val="000D4E21"/>
    <w:rsid w:val="000E3C47"/>
    <w:rsid w:val="000E6E43"/>
    <w:rsid w:val="000F267F"/>
    <w:rsid w:val="000F32CA"/>
    <w:rsid w:val="0011613D"/>
    <w:rsid w:val="001229A2"/>
    <w:rsid w:val="00130125"/>
    <w:rsid w:val="00131CA9"/>
    <w:rsid w:val="00140221"/>
    <w:rsid w:val="001405C3"/>
    <w:rsid w:val="00151DC8"/>
    <w:rsid w:val="001579F6"/>
    <w:rsid w:val="001609C2"/>
    <w:rsid w:val="00161B21"/>
    <w:rsid w:val="001627A4"/>
    <w:rsid w:val="001725B4"/>
    <w:rsid w:val="00173D88"/>
    <w:rsid w:val="00173E62"/>
    <w:rsid w:val="001745F8"/>
    <w:rsid w:val="0018341E"/>
    <w:rsid w:val="001838CF"/>
    <w:rsid w:val="00183AA3"/>
    <w:rsid w:val="001868EE"/>
    <w:rsid w:val="00191696"/>
    <w:rsid w:val="00194493"/>
    <w:rsid w:val="00195C68"/>
    <w:rsid w:val="00195EC9"/>
    <w:rsid w:val="001A3BA4"/>
    <w:rsid w:val="001B69D1"/>
    <w:rsid w:val="001C0772"/>
    <w:rsid w:val="001D19D3"/>
    <w:rsid w:val="001D60FF"/>
    <w:rsid w:val="001E21BE"/>
    <w:rsid w:val="001E30F6"/>
    <w:rsid w:val="001E4EB0"/>
    <w:rsid w:val="001F2B65"/>
    <w:rsid w:val="001F3516"/>
    <w:rsid w:val="00204544"/>
    <w:rsid w:val="00205EF3"/>
    <w:rsid w:val="00214218"/>
    <w:rsid w:val="00215647"/>
    <w:rsid w:val="00226E33"/>
    <w:rsid w:val="00227367"/>
    <w:rsid w:val="0023293D"/>
    <w:rsid w:val="00235F5C"/>
    <w:rsid w:val="00236221"/>
    <w:rsid w:val="0024614F"/>
    <w:rsid w:val="00250D15"/>
    <w:rsid w:val="0025227E"/>
    <w:rsid w:val="002525C2"/>
    <w:rsid w:val="00255BEF"/>
    <w:rsid w:val="00276E13"/>
    <w:rsid w:val="00283B0B"/>
    <w:rsid w:val="002876B1"/>
    <w:rsid w:val="0028775E"/>
    <w:rsid w:val="00292B1E"/>
    <w:rsid w:val="002B3475"/>
    <w:rsid w:val="002B4922"/>
    <w:rsid w:val="002B6045"/>
    <w:rsid w:val="002C0BE1"/>
    <w:rsid w:val="002C2D19"/>
    <w:rsid w:val="002C6D0A"/>
    <w:rsid w:val="002C7AC6"/>
    <w:rsid w:val="002D10FA"/>
    <w:rsid w:val="002D4C55"/>
    <w:rsid w:val="002D69F6"/>
    <w:rsid w:val="002E4538"/>
    <w:rsid w:val="002F08DF"/>
    <w:rsid w:val="002F290A"/>
    <w:rsid w:val="0031072C"/>
    <w:rsid w:val="00312B56"/>
    <w:rsid w:val="00317AB9"/>
    <w:rsid w:val="00320DBE"/>
    <w:rsid w:val="00337330"/>
    <w:rsid w:val="00342CE8"/>
    <w:rsid w:val="003434A4"/>
    <w:rsid w:val="003519AF"/>
    <w:rsid w:val="00354AB1"/>
    <w:rsid w:val="0036431B"/>
    <w:rsid w:val="003720E0"/>
    <w:rsid w:val="003775C0"/>
    <w:rsid w:val="003843D1"/>
    <w:rsid w:val="003921C0"/>
    <w:rsid w:val="003A17A8"/>
    <w:rsid w:val="003B58A6"/>
    <w:rsid w:val="003B659E"/>
    <w:rsid w:val="003D4C40"/>
    <w:rsid w:val="003D59A9"/>
    <w:rsid w:val="003E62EE"/>
    <w:rsid w:val="003F1952"/>
    <w:rsid w:val="00400618"/>
    <w:rsid w:val="0040368E"/>
    <w:rsid w:val="004077A1"/>
    <w:rsid w:val="00410250"/>
    <w:rsid w:val="00411B0A"/>
    <w:rsid w:val="00412BC6"/>
    <w:rsid w:val="00413855"/>
    <w:rsid w:val="0041575C"/>
    <w:rsid w:val="004162B1"/>
    <w:rsid w:val="00416C69"/>
    <w:rsid w:val="00417845"/>
    <w:rsid w:val="004239FB"/>
    <w:rsid w:val="00426E83"/>
    <w:rsid w:val="00436232"/>
    <w:rsid w:val="0043750A"/>
    <w:rsid w:val="00440276"/>
    <w:rsid w:val="00445036"/>
    <w:rsid w:val="004602E9"/>
    <w:rsid w:val="00463E28"/>
    <w:rsid w:val="00475274"/>
    <w:rsid w:val="004854BB"/>
    <w:rsid w:val="00486CAA"/>
    <w:rsid w:val="00487235"/>
    <w:rsid w:val="00487F3B"/>
    <w:rsid w:val="0049479D"/>
    <w:rsid w:val="004B136C"/>
    <w:rsid w:val="004B59BB"/>
    <w:rsid w:val="004C1ECD"/>
    <w:rsid w:val="004D030E"/>
    <w:rsid w:val="004D2245"/>
    <w:rsid w:val="004D4B8F"/>
    <w:rsid w:val="004E1A2E"/>
    <w:rsid w:val="004E5E66"/>
    <w:rsid w:val="004F44EA"/>
    <w:rsid w:val="004F640A"/>
    <w:rsid w:val="00502028"/>
    <w:rsid w:val="00503B4D"/>
    <w:rsid w:val="00504EE9"/>
    <w:rsid w:val="0051148A"/>
    <w:rsid w:val="00513668"/>
    <w:rsid w:val="00520D75"/>
    <w:rsid w:val="00526D06"/>
    <w:rsid w:val="00533C5C"/>
    <w:rsid w:val="005355A3"/>
    <w:rsid w:val="005425D3"/>
    <w:rsid w:val="0054442C"/>
    <w:rsid w:val="00550285"/>
    <w:rsid w:val="00556515"/>
    <w:rsid w:val="00561E94"/>
    <w:rsid w:val="0056297F"/>
    <w:rsid w:val="005713CC"/>
    <w:rsid w:val="005729D7"/>
    <w:rsid w:val="00582B08"/>
    <w:rsid w:val="005836F8"/>
    <w:rsid w:val="00590BA3"/>
    <w:rsid w:val="005918FA"/>
    <w:rsid w:val="005B6B56"/>
    <w:rsid w:val="005B7B29"/>
    <w:rsid w:val="005C03C5"/>
    <w:rsid w:val="005C1BDA"/>
    <w:rsid w:val="005C23A4"/>
    <w:rsid w:val="005D1CDF"/>
    <w:rsid w:val="005D3920"/>
    <w:rsid w:val="005D60F8"/>
    <w:rsid w:val="005D7464"/>
    <w:rsid w:val="005E11C6"/>
    <w:rsid w:val="005E33EB"/>
    <w:rsid w:val="005E61A8"/>
    <w:rsid w:val="005E6DE8"/>
    <w:rsid w:val="005E7957"/>
    <w:rsid w:val="005F6419"/>
    <w:rsid w:val="005F6E49"/>
    <w:rsid w:val="00601919"/>
    <w:rsid w:val="006036F3"/>
    <w:rsid w:val="0061313B"/>
    <w:rsid w:val="006146A3"/>
    <w:rsid w:val="00617400"/>
    <w:rsid w:val="00623FF5"/>
    <w:rsid w:val="00626F9C"/>
    <w:rsid w:val="006279EE"/>
    <w:rsid w:val="00633F01"/>
    <w:rsid w:val="00634E77"/>
    <w:rsid w:val="00635282"/>
    <w:rsid w:val="00636951"/>
    <w:rsid w:val="00636ACB"/>
    <w:rsid w:val="00663029"/>
    <w:rsid w:val="00664950"/>
    <w:rsid w:val="00666544"/>
    <w:rsid w:val="0067702D"/>
    <w:rsid w:val="00683220"/>
    <w:rsid w:val="00683595"/>
    <w:rsid w:val="00683D12"/>
    <w:rsid w:val="00687742"/>
    <w:rsid w:val="00687FA0"/>
    <w:rsid w:val="006A5953"/>
    <w:rsid w:val="006A6F1A"/>
    <w:rsid w:val="006B7010"/>
    <w:rsid w:val="006C2C0B"/>
    <w:rsid w:val="006D49E7"/>
    <w:rsid w:val="006E0054"/>
    <w:rsid w:val="006E1B9B"/>
    <w:rsid w:val="006E6311"/>
    <w:rsid w:val="006E6743"/>
    <w:rsid w:val="006E71B6"/>
    <w:rsid w:val="006F25F3"/>
    <w:rsid w:val="006F7D8E"/>
    <w:rsid w:val="00701C05"/>
    <w:rsid w:val="0070241C"/>
    <w:rsid w:val="007145FF"/>
    <w:rsid w:val="007211A5"/>
    <w:rsid w:val="00723616"/>
    <w:rsid w:val="00730B98"/>
    <w:rsid w:val="00730C2F"/>
    <w:rsid w:val="007430C5"/>
    <w:rsid w:val="0074790F"/>
    <w:rsid w:val="00751515"/>
    <w:rsid w:val="00753E4A"/>
    <w:rsid w:val="007604BD"/>
    <w:rsid w:val="00766CAB"/>
    <w:rsid w:val="00767075"/>
    <w:rsid w:val="007674C7"/>
    <w:rsid w:val="00784DF6"/>
    <w:rsid w:val="00785232"/>
    <w:rsid w:val="0079035E"/>
    <w:rsid w:val="007926A5"/>
    <w:rsid w:val="007A46C9"/>
    <w:rsid w:val="007B41F1"/>
    <w:rsid w:val="007B6730"/>
    <w:rsid w:val="007B6997"/>
    <w:rsid w:val="007C3ED0"/>
    <w:rsid w:val="0080072B"/>
    <w:rsid w:val="00806A76"/>
    <w:rsid w:val="008110F8"/>
    <w:rsid w:val="00811C9D"/>
    <w:rsid w:val="00816C80"/>
    <w:rsid w:val="00830610"/>
    <w:rsid w:val="008337F4"/>
    <w:rsid w:val="008342D2"/>
    <w:rsid w:val="00837B3C"/>
    <w:rsid w:val="00837F94"/>
    <w:rsid w:val="00841BCD"/>
    <w:rsid w:val="008465C0"/>
    <w:rsid w:val="00846DAD"/>
    <w:rsid w:val="008473EF"/>
    <w:rsid w:val="00851A8E"/>
    <w:rsid w:val="0085345A"/>
    <w:rsid w:val="0086419C"/>
    <w:rsid w:val="00866163"/>
    <w:rsid w:val="0087053F"/>
    <w:rsid w:val="0087797A"/>
    <w:rsid w:val="00880466"/>
    <w:rsid w:val="008826C1"/>
    <w:rsid w:val="008841F3"/>
    <w:rsid w:val="00885A98"/>
    <w:rsid w:val="008907A0"/>
    <w:rsid w:val="00890E72"/>
    <w:rsid w:val="00895AD2"/>
    <w:rsid w:val="00896324"/>
    <w:rsid w:val="00896D71"/>
    <w:rsid w:val="008B0EB4"/>
    <w:rsid w:val="008B6EDD"/>
    <w:rsid w:val="008B7176"/>
    <w:rsid w:val="008B72F2"/>
    <w:rsid w:val="008C46D3"/>
    <w:rsid w:val="008F5C5C"/>
    <w:rsid w:val="0090091A"/>
    <w:rsid w:val="00901729"/>
    <w:rsid w:val="009042BD"/>
    <w:rsid w:val="0091155E"/>
    <w:rsid w:val="00913D4B"/>
    <w:rsid w:val="00922F89"/>
    <w:rsid w:val="0093655F"/>
    <w:rsid w:val="009406A7"/>
    <w:rsid w:val="00960C6F"/>
    <w:rsid w:val="009655EB"/>
    <w:rsid w:val="00965D80"/>
    <w:rsid w:val="00973A85"/>
    <w:rsid w:val="00977E1D"/>
    <w:rsid w:val="009975FB"/>
    <w:rsid w:val="009A5071"/>
    <w:rsid w:val="009B0591"/>
    <w:rsid w:val="009B29E1"/>
    <w:rsid w:val="009C2995"/>
    <w:rsid w:val="009D3A0D"/>
    <w:rsid w:val="00A00022"/>
    <w:rsid w:val="00A06BA9"/>
    <w:rsid w:val="00A10E98"/>
    <w:rsid w:val="00A12F6C"/>
    <w:rsid w:val="00A166A7"/>
    <w:rsid w:val="00A21D71"/>
    <w:rsid w:val="00A22B78"/>
    <w:rsid w:val="00A24D1B"/>
    <w:rsid w:val="00A25AE5"/>
    <w:rsid w:val="00A328BE"/>
    <w:rsid w:val="00A363A1"/>
    <w:rsid w:val="00A37002"/>
    <w:rsid w:val="00A42E04"/>
    <w:rsid w:val="00A46491"/>
    <w:rsid w:val="00A4757A"/>
    <w:rsid w:val="00A62283"/>
    <w:rsid w:val="00A62A19"/>
    <w:rsid w:val="00A70EF3"/>
    <w:rsid w:val="00A727BD"/>
    <w:rsid w:val="00A77299"/>
    <w:rsid w:val="00A838C2"/>
    <w:rsid w:val="00AA1274"/>
    <w:rsid w:val="00AA1B0E"/>
    <w:rsid w:val="00AA7CBD"/>
    <w:rsid w:val="00AB7458"/>
    <w:rsid w:val="00AC262B"/>
    <w:rsid w:val="00AC5B60"/>
    <w:rsid w:val="00AC5CA7"/>
    <w:rsid w:val="00AD12DA"/>
    <w:rsid w:val="00AD1D39"/>
    <w:rsid w:val="00AD1FB0"/>
    <w:rsid w:val="00AD48DA"/>
    <w:rsid w:val="00AE2BA5"/>
    <w:rsid w:val="00AE56B1"/>
    <w:rsid w:val="00B01D7A"/>
    <w:rsid w:val="00B0284B"/>
    <w:rsid w:val="00B12C58"/>
    <w:rsid w:val="00B13607"/>
    <w:rsid w:val="00B21FAC"/>
    <w:rsid w:val="00B316C5"/>
    <w:rsid w:val="00B5027A"/>
    <w:rsid w:val="00B564B0"/>
    <w:rsid w:val="00B56541"/>
    <w:rsid w:val="00B649D2"/>
    <w:rsid w:val="00B73862"/>
    <w:rsid w:val="00B74AB5"/>
    <w:rsid w:val="00B75760"/>
    <w:rsid w:val="00B90A85"/>
    <w:rsid w:val="00B919E5"/>
    <w:rsid w:val="00B927F8"/>
    <w:rsid w:val="00B97689"/>
    <w:rsid w:val="00BA2ED3"/>
    <w:rsid w:val="00BA5E4F"/>
    <w:rsid w:val="00BA6E48"/>
    <w:rsid w:val="00BB0DB5"/>
    <w:rsid w:val="00BB4785"/>
    <w:rsid w:val="00BB5616"/>
    <w:rsid w:val="00BB6E5C"/>
    <w:rsid w:val="00BB704A"/>
    <w:rsid w:val="00BC1D21"/>
    <w:rsid w:val="00BD643C"/>
    <w:rsid w:val="00BE1C91"/>
    <w:rsid w:val="00BE49C0"/>
    <w:rsid w:val="00BF2218"/>
    <w:rsid w:val="00C068BA"/>
    <w:rsid w:val="00C07087"/>
    <w:rsid w:val="00C106BD"/>
    <w:rsid w:val="00C158A4"/>
    <w:rsid w:val="00C16403"/>
    <w:rsid w:val="00C20285"/>
    <w:rsid w:val="00C25789"/>
    <w:rsid w:val="00C25D31"/>
    <w:rsid w:val="00C30D52"/>
    <w:rsid w:val="00C354D1"/>
    <w:rsid w:val="00C358BF"/>
    <w:rsid w:val="00C50992"/>
    <w:rsid w:val="00C52FFA"/>
    <w:rsid w:val="00C54D6F"/>
    <w:rsid w:val="00C62ABF"/>
    <w:rsid w:val="00C65187"/>
    <w:rsid w:val="00C71300"/>
    <w:rsid w:val="00C73994"/>
    <w:rsid w:val="00C8229E"/>
    <w:rsid w:val="00C86F44"/>
    <w:rsid w:val="00CA5755"/>
    <w:rsid w:val="00CB011A"/>
    <w:rsid w:val="00CB1F92"/>
    <w:rsid w:val="00CB3AE6"/>
    <w:rsid w:val="00CB6DCF"/>
    <w:rsid w:val="00CD5A30"/>
    <w:rsid w:val="00CD7492"/>
    <w:rsid w:val="00CE0FB2"/>
    <w:rsid w:val="00CE3A6B"/>
    <w:rsid w:val="00CE7ECF"/>
    <w:rsid w:val="00CF10CC"/>
    <w:rsid w:val="00CF2C95"/>
    <w:rsid w:val="00D00211"/>
    <w:rsid w:val="00D06309"/>
    <w:rsid w:val="00D06874"/>
    <w:rsid w:val="00D07F22"/>
    <w:rsid w:val="00D15FC8"/>
    <w:rsid w:val="00D178A2"/>
    <w:rsid w:val="00D2336D"/>
    <w:rsid w:val="00D27877"/>
    <w:rsid w:val="00D33E19"/>
    <w:rsid w:val="00D351EA"/>
    <w:rsid w:val="00D403A2"/>
    <w:rsid w:val="00D411B6"/>
    <w:rsid w:val="00D414B8"/>
    <w:rsid w:val="00D43403"/>
    <w:rsid w:val="00D45EA6"/>
    <w:rsid w:val="00D5030A"/>
    <w:rsid w:val="00D54C1D"/>
    <w:rsid w:val="00D55136"/>
    <w:rsid w:val="00D61A6A"/>
    <w:rsid w:val="00D62E71"/>
    <w:rsid w:val="00D632F9"/>
    <w:rsid w:val="00D66188"/>
    <w:rsid w:val="00D71AC0"/>
    <w:rsid w:val="00D71ADA"/>
    <w:rsid w:val="00D740CA"/>
    <w:rsid w:val="00D77A0D"/>
    <w:rsid w:val="00D82A20"/>
    <w:rsid w:val="00D85728"/>
    <w:rsid w:val="00D9709F"/>
    <w:rsid w:val="00DA167C"/>
    <w:rsid w:val="00DA4CEA"/>
    <w:rsid w:val="00DB36C4"/>
    <w:rsid w:val="00DB4EE8"/>
    <w:rsid w:val="00DB57D5"/>
    <w:rsid w:val="00DC0669"/>
    <w:rsid w:val="00DC74F0"/>
    <w:rsid w:val="00DD02D2"/>
    <w:rsid w:val="00DD4708"/>
    <w:rsid w:val="00DD59AE"/>
    <w:rsid w:val="00DF2997"/>
    <w:rsid w:val="00E04FBC"/>
    <w:rsid w:val="00E06C30"/>
    <w:rsid w:val="00E14121"/>
    <w:rsid w:val="00E1565D"/>
    <w:rsid w:val="00E22087"/>
    <w:rsid w:val="00E234A9"/>
    <w:rsid w:val="00E23D4F"/>
    <w:rsid w:val="00E26661"/>
    <w:rsid w:val="00E30CAA"/>
    <w:rsid w:val="00E403BF"/>
    <w:rsid w:val="00E47F6B"/>
    <w:rsid w:val="00E6762E"/>
    <w:rsid w:val="00E72985"/>
    <w:rsid w:val="00E7758B"/>
    <w:rsid w:val="00E86F9C"/>
    <w:rsid w:val="00E87639"/>
    <w:rsid w:val="00E9155E"/>
    <w:rsid w:val="00E9339C"/>
    <w:rsid w:val="00E95FAA"/>
    <w:rsid w:val="00EA11A5"/>
    <w:rsid w:val="00EA61DC"/>
    <w:rsid w:val="00EA73D1"/>
    <w:rsid w:val="00EA758C"/>
    <w:rsid w:val="00EC44F9"/>
    <w:rsid w:val="00EC7BC3"/>
    <w:rsid w:val="00ED21BB"/>
    <w:rsid w:val="00ED7600"/>
    <w:rsid w:val="00EF4B2B"/>
    <w:rsid w:val="00EF4BD2"/>
    <w:rsid w:val="00F05140"/>
    <w:rsid w:val="00F1058A"/>
    <w:rsid w:val="00F1362C"/>
    <w:rsid w:val="00F275F0"/>
    <w:rsid w:val="00F4548D"/>
    <w:rsid w:val="00F50613"/>
    <w:rsid w:val="00F508B8"/>
    <w:rsid w:val="00F559BA"/>
    <w:rsid w:val="00F57B83"/>
    <w:rsid w:val="00F629D3"/>
    <w:rsid w:val="00F64043"/>
    <w:rsid w:val="00F6560A"/>
    <w:rsid w:val="00F65749"/>
    <w:rsid w:val="00F71847"/>
    <w:rsid w:val="00F73944"/>
    <w:rsid w:val="00F80B81"/>
    <w:rsid w:val="00F824F5"/>
    <w:rsid w:val="00F87B2B"/>
    <w:rsid w:val="00F97A5C"/>
    <w:rsid w:val="00FA316B"/>
    <w:rsid w:val="00FB5E1E"/>
    <w:rsid w:val="00FB7048"/>
    <w:rsid w:val="00FC16DE"/>
    <w:rsid w:val="00FC29B9"/>
    <w:rsid w:val="00FC475B"/>
    <w:rsid w:val="00FC494E"/>
    <w:rsid w:val="00FC4B46"/>
    <w:rsid w:val="00FC6FD3"/>
    <w:rsid w:val="00FD18D8"/>
    <w:rsid w:val="00FD2CC0"/>
    <w:rsid w:val="00FD3EE8"/>
    <w:rsid w:val="00FE49EB"/>
    <w:rsid w:val="00FF0301"/>
    <w:rsid w:val="00FF1ABB"/>
    <w:rsid w:val="00FF2D43"/>
    <w:rsid w:val="00FF3184"/>
    <w:rsid w:val="00FF7512"/>
    <w:rsid w:val="08449078"/>
    <w:rsid w:val="0B08F08C"/>
    <w:rsid w:val="0D827FC1"/>
    <w:rsid w:val="0F5290F7"/>
    <w:rsid w:val="10726D23"/>
    <w:rsid w:val="1229AF52"/>
    <w:rsid w:val="13EA62A9"/>
    <w:rsid w:val="1B56409C"/>
    <w:rsid w:val="1C949C24"/>
    <w:rsid w:val="1CCB8D57"/>
    <w:rsid w:val="1DCDCFDC"/>
    <w:rsid w:val="213C263D"/>
    <w:rsid w:val="23060B70"/>
    <w:rsid w:val="2458D5BA"/>
    <w:rsid w:val="24C92BF6"/>
    <w:rsid w:val="26CBC450"/>
    <w:rsid w:val="2725489F"/>
    <w:rsid w:val="2C586803"/>
    <w:rsid w:val="2E9455D1"/>
    <w:rsid w:val="2F4537DE"/>
    <w:rsid w:val="30EF9A69"/>
    <w:rsid w:val="340FF22D"/>
    <w:rsid w:val="3450D008"/>
    <w:rsid w:val="348CD801"/>
    <w:rsid w:val="3B0A8F71"/>
    <w:rsid w:val="3D847E73"/>
    <w:rsid w:val="44C97E51"/>
    <w:rsid w:val="464854AA"/>
    <w:rsid w:val="4D1A8299"/>
    <w:rsid w:val="4EDEE713"/>
    <w:rsid w:val="53A5FEAC"/>
    <w:rsid w:val="53D527C0"/>
    <w:rsid w:val="5451B87E"/>
    <w:rsid w:val="5581ED62"/>
    <w:rsid w:val="57ED79FA"/>
    <w:rsid w:val="5818F80C"/>
    <w:rsid w:val="5A8EDE0A"/>
    <w:rsid w:val="5F180E41"/>
    <w:rsid w:val="603AB5C9"/>
    <w:rsid w:val="60DB9D57"/>
    <w:rsid w:val="61702B68"/>
    <w:rsid w:val="627CA5A7"/>
    <w:rsid w:val="668126F1"/>
    <w:rsid w:val="6862A83B"/>
    <w:rsid w:val="6A47E9D8"/>
    <w:rsid w:val="6F765C83"/>
    <w:rsid w:val="6FFAA42F"/>
    <w:rsid w:val="76B48918"/>
    <w:rsid w:val="78AA9F35"/>
    <w:rsid w:val="78D64C53"/>
    <w:rsid w:val="79EC29DA"/>
    <w:rsid w:val="7AF4FC16"/>
    <w:rsid w:val="7E415209"/>
    <w:rsid w:val="7E7241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7764AA"/>
  <w15:chartTrackingRefBased/>
  <w15:docId w15:val="{9247768C-CC4D-46BF-B9B2-DCCFA7759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qFormat/>
    <w:rsid w:val="003B659E"/>
    <w:pPr>
      <w:keepNext/>
      <w:keepLines/>
      <w:numPr>
        <w:numId w:val="12"/>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numPr>
        <w:ilvl w:val="1"/>
      </w:num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semiHidden/>
    <w:unhideWhenUsed/>
    <w:qFormat/>
    <w:rsid w:val="00BB704A"/>
    <w:pPr>
      <w:keepNext/>
      <w:keepLines/>
      <w:numPr>
        <w:ilvl w:val="2"/>
        <w:numId w:val="12"/>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semiHidden/>
    <w:unhideWhenUsed/>
    <w:qFormat/>
    <w:rsid w:val="00BB704A"/>
    <w:pPr>
      <w:numPr>
        <w:ilvl w:val="3"/>
      </w:numPr>
      <w:spacing w:before="120" w:after="180" w:line="256" w:lineRule="auto"/>
      <w:outlineLvl w:val="3"/>
    </w:pPr>
    <w:rPr>
      <w:rFonts w:ascii="Arial" w:eastAsia="Times New Roman" w:hAnsi="Arial" w:cs="Times New Roman"/>
      <w:color w:val="auto"/>
      <w:szCs w:val="18"/>
      <w:lang w:val="sv-SE" w:eastAsia="zh-CN"/>
    </w:rPr>
  </w:style>
  <w:style w:type="paragraph" w:styleId="Heading5">
    <w:name w:val="heading 5"/>
    <w:basedOn w:val="Heading4"/>
    <w:next w:val="Normal"/>
    <w:link w:val="Heading5Char"/>
    <w:semiHidden/>
    <w:unhideWhenUsed/>
    <w:qFormat/>
    <w:rsid w:val="00BB704A"/>
    <w:pPr>
      <w:numPr>
        <w:ilvl w:val="4"/>
      </w:numPr>
      <w:outlineLvl w:val="4"/>
    </w:pPr>
    <w:rPr>
      <w:sz w:val="22"/>
    </w:rPr>
  </w:style>
  <w:style w:type="paragraph" w:styleId="Heading6">
    <w:name w:val="heading 6"/>
    <w:basedOn w:val="Normal"/>
    <w:next w:val="Normal"/>
    <w:link w:val="Heading6Char"/>
    <w:semiHidden/>
    <w:unhideWhenUsed/>
    <w:qFormat/>
    <w:rsid w:val="00BB704A"/>
    <w:pPr>
      <w:keepNext/>
      <w:keepLines/>
      <w:numPr>
        <w:ilvl w:val="5"/>
        <w:numId w:val="12"/>
      </w:numPr>
      <w:spacing w:before="120" w:after="180" w:line="256" w:lineRule="auto"/>
      <w:outlineLvl w:val="5"/>
    </w:pPr>
    <w:rPr>
      <w:rFonts w:ascii="Arial" w:eastAsia="Times New Roman" w:hAnsi="Arial" w:cs="Times New Roman"/>
      <w:szCs w:val="18"/>
      <w:lang w:val="sv-SE" w:eastAsia="zh-CN"/>
    </w:rPr>
  </w:style>
  <w:style w:type="paragraph" w:styleId="Heading7">
    <w:name w:val="heading 7"/>
    <w:basedOn w:val="Normal"/>
    <w:next w:val="Normal"/>
    <w:link w:val="Heading7Char"/>
    <w:semiHidden/>
    <w:unhideWhenUsed/>
    <w:qFormat/>
    <w:rsid w:val="00BB704A"/>
    <w:pPr>
      <w:keepNext/>
      <w:keepLines/>
      <w:numPr>
        <w:ilvl w:val="6"/>
        <w:numId w:val="12"/>
      </w:numPr>
      <w:spacing w:before="120" w:after="180" w:line="256" w:lineRule="auto"/>
      <w:outlineLvl w:val="6"/>
    </w:pPr>
    <w:rPr>
      <w:rFonts w:ascii="Arial" w:eastAsiaTheme="minorEastAsia" w:hAnsi="Arial" w:cs="Times New Roman"/>
      <w:szCs w:val="18"/>
      <w:lang w:val="sv-SE" w:eastAsia="zh-CN"/>
    </w:rPr>
  </w:style>
  <w:style w:type="paragraph" w:styleId="Heading8">
    <w:name w:val="heading 8"/>
    <w:basedOn w:val="Heading1"/>
    <w:next w:val="Normal"/>
    <w:link w:val="Heading8Char"/>
    <w:semiHidden/>
    <w:unhideWhenUsed/>
    <w:qFormat/>
    <w:rsid w:val="00BB704A"/>
    <w:pPr>
      <w:numPr>
        <w:ilvl w:val="7"/>
      </w:numPr>
      <w:pBdr>
        <w:top w:val="single" w:sz="12" w:space="3" w:color="auto"/>
      </w:pBdr>
      <w:spacing w:after="180" w:line="256" w:lineRule="auto"/>
      <w:outlineLvl w:val="7"/>
    </w:pPr>
    <w:rPr>
      <w:rFonts w:ascii="Arial" w:eastAsiaTheme="minorEastAsia" w:hAnsi="Arial" w:cs="Times New Roman"/>
      <w:color w:val="auto"/>
      <w:sz w:val="36"/>
      <w:szCs w:val="20"/>
      <w:lang w:val="sv-SE"/>
    </w:rPr>
  </w:style>
  <w:style w:type="paragraph" w:styleId="Heading9">
    <w:name w:val="heading 9"/>
    <w:basedOn w:val="Heading8"/>
    <w:next w:val="Normal"/>
    <w:link w:val="Heading9Char"/>
    <w:semiHidden/>
    <w:unhideWhenUsed/>
    <w:qFormat/>
    <w:rsid w:val="00BB704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NormalWeb">
    <w:name w:val="Normal (Web)"/>
    <w:basedOn w:val="Normal"/>
    <w:uiPriority w:val="99"/>
    <w:semiHidden/>
    <w:unhideWhenUsed/>
    <w:rsid w:val="00440276"/>
    <w:pPr>
      <w:spacing w:before="100" w:beforeAutospacing="1" w:after="100" w:afterAutospacing="1" w:line="240" w:lineRule="auto"/>
    </w:pPr>
    <w:rPr>
      <w:rFonts w:eastAsia="Times New Roman" w:cs="Times New Roman"/>
      <w:sz w:val="24"/>
      <w:szCs w:val="24"/>
      <w:lang w:val="da-DK" w:eastAsia="da-DK"/>
    </w:rPr>
  </w:style>
  <w:style w:type="character" w:styleId="CommentReference">
    <w:name w:val="annotation reference"/>
    <w:basedOn w:val="DefaultParagraphFont"/>
    <w:uiPriority w:val="99"/>
    <w:semiHidden/>
    <w:unhideWhenUsed/>
    <w:rsid w:val="003519AF"/>
    <w:rPr>
      <w:sz w:val="16"/>
      <w:szCs w:val="16"/>
    </w:rPr>
  </w:style>
  <w:style w:type="paragraph" w:styleId="CommentText">
    <w:name w:val="annotation text"/>
    <w:basedOn w:val="Normal"/>
    <w:link w:val="CommentTextChar"/>
    <w:uiPriority w:val="99"/>
    <w:semiHidden/>
    <w:unhideWhenUsed/>
    <w:rsid w:val="003519AF"/>
    <w:pPr>
      <w:spacing w:line="240" w:lineRule="auto"/>
    </w:pPr>
    <w:rPr>
      <w:szCs w:val="20"/>
    </w:rPr>
  </w:style>
  <w:style w:type="character" w:customStyle="1" w:styleId="CommentTextChar">
    <w:name w:val="Comment Text Char"/>
    <w:basedOn w:val="DefaultParagraphFont"/>
    <w:link w:val="CommentText"/>
    <w:uiPriority w:val="99"/>
    <w:semiHidden/>
    <w:rsid w:val="003519A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3519AF"/>
    <w:rPr>
      <w:b/>
      <w:bCs/>
    </w:rPr>
  </w:style>
  <w:style w:type="character" w:customStyle="1" w:styleId="CommentSubjectChar">
    <w:name w:val="Comment Subject Char"/>
    <w:basedOn w:val="CommentTextChar"/>
    <w:link w:val="CommentSubject"/>
    <w:uiPriority w:val="99"/>
    <w:semiHidden/>
    <w:rsid w:val="003519AF"/>
    <w:rPr>
      <w:rFonts w:ascii="Times New Roman" w:hAnsi="Times New Roman"/>
      <w:b/>
      <w:bCs/>
      <w:sz w:val="20"/>
      <w:szCs w:val="20"/>
    </w:rPr>
  </w:style>
  <w:style w:type="paragraph" w:styleId="Header">
    <w:name w:val="header"/>
    <w:basedOn w:val="Normal"/>
    <w:link w:val="HeaderChar"/>
    <w:uiPriority w:val="99"/>
    <w:semiHidden/>
    <w:unhideWhenUsed/>
    <w:rsid w:val="00FD18D8"/>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FD18D8"/>
    <w:rPr>
      <w:rFonts w:ascii="Times New Roman" w:hAnsi="Times New Roman"/>
      <w:sz w:val="20"/>
    </w:rPr>
  </w:style>
  <w:style w:type="paragraph" w:styleId="Footer">
    <w:name w:val="footer"/>
    <w:basedOn w:val="Normal"/>
    <w:link w:val="FooterChar"/>
    <w:uiPriority w:val="99"/>
    <w:semiHidden/>
    <w:unhideWhenUsed/>
    <w:rsid w:val="00FD18D8"/>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FD18D8"/>
    <w:rPr>
      <w:rFonts w:ascii="Times New Roman" w:hAnsi="Times New Roman"/>
      <w:sz w:val="20"/>
    </w:rPr>
  </w:style>
  <w:style w:type="paragraph" w:customStyle="1" w:styleId="TAC">
    <w:name w:val="TAC"/>
    <w:basedOn w:val="Normal"/>
    <w:link w:val="TACChar"/>
    <w:qFormat/>
    <w:rsid w:val="000C76BA"/>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0C76BA"/>
    <w:rPr>
      <w:rFonts w:ascii="Arial" w:eastAsia="Malgun Gothic" w:hAnsi="Arial" w:cs="Times New Roman"/>
      <w:sz w:val="18"/>
      <w:szCs w:val="20"/>
      <w:lang w:val="en-GB"/>
    </w:rPr>
  </w:style>
  <w:style w:type="paragraph" w:customStyle="1" w:styleId="TAH">
    <w:name w:val="TAH"/>
    <w:basedOn w:val="TAC"/>
    <w:link w:val="TAHCar"/>
    <w:uiPriority w:val="99"/>
    <w:qFormat/>
    <w:rsid w:val="000C76BA"/>
    <w:rPr>
      <w:rFonts w:eastAsia="Times New Roman"/>
      <w:b/>
    </w:rPr>
  </w:style>
  <w:style w:type="character" w:customStyle="1" w:styleId="TAHCar">
    <w:name w:val="TAH Car"/>
    <w:link w:val="TAH"/>
    <w:uiPriority w:val="99"/>
    <w:qFormat/>
    <w:rsid w:val="000C76BA"/>
    <w:rPr>
      <w:rFonts w:ascii="Arial" w:eastAsia="Times New Roman" w:hAnsi="Arial" w:cs="Times New Roman"/>
      <w:b/>
      <w:sz w:val="18"/>
      <w:szCs w:val="20"/>
      <w:lang w:val="en-GB"/>
    </w:rPr>
  </w:style>
  <w:style w:type="paragraph" w:customStyle="1" w:styleId="TAL">
    <w:name w:val="TAL"/>
    <w:basedOn w:val="Normal"/>
    <w:link w:val="TALChar"/>
    <w:qFormat/>
    <w:rsid w:val="000C76BA"/>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0C76BA"/>
    <w:rPr>
      <w:rFonts w:ascii="Arial" w:eastAsia="Times New Roman" w:hAnsi="Arial" w:cs="Times New Roman"/>
      <w:sz w:val="18"/>
      <w:szCs w:val="20"/>
      <w:lang w:val="en-GB"/>
    </w:rPr>
  </w:style>
  <w:style w:type="paragraph" w:customStyle="1" w:styleId="TH">
    <w:name w:val="TH"/>
    <w:basedOn w:val="Normal"/>
    <w:link w:val="THChar"/>
    <w:qFormat/>
    <w:rsid w:val="000C76BA"/>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0C76BA"/>
    <w:rPr>
      <w:rFonts w:ascii="Arial" w:eastAsia="SimSun" w:hAnsi="Arial" w:cs="Times New Roman"/>
      <w:b/>
      <w:sz w:val="20"/>
      <w:szCs w:val="20"/>
      <w:lang w:val="en-GB"/>
    </w:rPr>
  </w:style>
  <w:style w:type="paragraph" w:styleId="Revision">
    <w:name w:val="Revision"/>
    <w:hidden/>
    <w:uiPriority w:val="99"/>
    <w:semiHidden/>
    <w:rsid w:val="00582B08"/>
    <w:pPr>
      <w:spacing w:after="0" w:line="240" w:lineRule="auto"/>
    </w:pPr>
    <w:rPr>
      <w:rFonts w:ascii="Times New Roman" w:hAnsi="Times New Roman"/>
      <w:sz w:val="20"/>
    </w:rPr>
  </w:style>
  <w:style w:type="character" w:styleId="Mention">
    <w:name w:val="Mention"/>
    <w:basedOn w:val="DefaultParagraphFont"/>
    <w:uiPriority w:val="99"/>
    <w:unhideWhenUsed/>
    <w:rsid w:val="0051148A"/>
    <w:rPr>
      <w:color w:val="2B579A"/>
      <w:shd w:val="clear" w:color="auto" w:fill="E6E6E6"/>
    </w:rPr>
  </w:style>
  <w:style w:type="character" w:customStyle="1" w:styleId="Heading3Char">
    <w:name w:val="Heading 3 Char"/>
    <w:basedOn w:val="DefaultParagraphFont"/>
    <w:link w:val="Heading3"/>
    <w:semiHidden/>
    <w:rsid w:val="00BB704A"/>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semiHidden/>
    <w:rsid w:val="00BB704A"/>
    <w:rPr>
      <w:rFonts w:ascii="Arial" w:eastAsia="Times New Roman" w:hAnsi="Arial" w:cs="Times New Roman"/>
      <w:sz w:val="24"/>
      <w:szCs w:val="18"/>
      <w:lang w:val="sv-SE" w:eastAsia="zh-CN"/>
    </w:rPr>
  </w:style>
  <w:style w:type="character" w:customStyle="1" w:styleId="Heading5Char">
    <w:name w:val="Heading 5 Char"/>
    <w:basedOn w:val="DefaultParagraphFont"/>
    <w:link w:val="Heading5"/>
    <w:semiHidden/>
    <w:rsid w:val="00BB704A"/>
    <w:rPr>
      <w:rFonts w:ascii="Arial" w:eastAsia="Times New Roman" w:hAnsi="Arial" w:cs="Times New Roman"/>
      <w:szCs w:val="18"/>
      <w:lang w:val="sv-SE" w:eastAsia="zh-CN"/>
    </w:rPr>
  </w:style>
  <w:style w:type="character" w:customStyle="1" w:styleId="Heading6Char">
    <w:name w:val="Heading 6 Char"/>
    <w:basedOn w:val="DefaultParagraphFont"/>
    <w:link w:val="Heading6"/>
    <w:semiHidden/>
    <w:rsid w:val="00BB704A"/>
    <w:rPr>
      <w:rFonts w:ascii="Arial" w:eastAsia="Times New Roman" w:hAnsi="Arial" w:cs="Times New Roman"/>
      <w:sz w:val="20"/>
      <w:szCs w:val="18"/>
      <w:lang w:val="sv-SE" w:eastAsia="zh-CN"/>
    </w:rPr>
  </w:style>
  <w:style w:type="character" w:customStyle="1" w:styleId="Heading7Char">
    <w:name w:val="Heading 7 Char"/>
    <w:basedOn w:val="DefaultParagraphFont"/>
    <w:link w:val="Heading7"/>
    <w:semiHidden/>
    <w:rsid w:val="00BB704A"/>
    <w:rPr>
      <w:rFonts w:ascii="Arial" w:eastAsiaTheme="minorEastAsia" w:hAnsi="Arial" w:cs="Times New Roman"/>
      <w:sz w:val="20"/>
      <w:szCs w:val="18"/>
      <w:lang w:val="sv-SE" w:eastAsia="zh-CN"/>
    </w:rPr>
  </w:style>
  <w:style w:type="character" w:customStyle="1" w:styleId="Heading8Char">
    <w:name w:val="Heading 8 Char"/>
    <w:basedOn w:val="DefaultParagraphFont"/>
    <w:link w:val="Heading8"/>
    <w:semiHidden/>
    <w:rsid w:val="00BB704A"/>
    <w:rPr>
      <w:rFonts w:ascii="Arial" w:eastAsiaTheme="minorEastAsia" w:hAnsi="Arial" w:cs="Times New Roman"/>
      <w:sz w:val="36"/>
      <w:szCs w:val="20"/>
      <w:lang w:val="sv-SE"/>
    </w:rPr>
  </w:style>
  <w:style w:type="character" w:customStyle="1" w:styleId="Heading9Char">
    <w:name w:val="Heading 9 Char"/>
    <w:basedOn w:val="DefaultParagraphFont"/>
    <w:link w:val="Heading9"/>
    <w:semiHidden/>
    <w:rsid w:val="00BB704A"/>
    <w:rPr>
      <w:rFonts w:ascii="Arial" w:eastAsiaTheme="minorEastAsia" w:hAnsi="Arial" w:cs="Times New Roman"/>
      <w:sz w:val="36"/>
      <w:szCs w:val="20"/>
      <w:lang w:val="sv-SE"/>
    </w:rPr>
  </w:style>
  <w:style w:type="character" w:customStyle="1" w:styleId="B1Char">
    <w:name w:val="B1 Char"/>
    <w:link w:val="B1"/>
    <w:qFormat/>
    <w:locked/>
    <w:rsid w:val="00BB704A"/>
    <w:rPr>
      <w:lang w:val="en-GB"/>
    </w:rPr>
  </w:style>
  <w:style w:type="paragraph" w:customStyle="1" w:styleId="B1">
    <w:name w:val="B1"/>
    <w:basedOn w:val="List"/>
    <w:link w:val="B1Char"/>
    <w:qFormat/>
    <w:rsid w:val="00BB704A"/>
    <w:pPr>
      <w:spacing w:after="180" w:line="256" w:lineRule="auto"/>
      <w:ind w:left="568" w:hanging="284"/>
      <w:contextualSpacing w:val="0"/>
    </w:pPr>
    <w:rPr>
      <w:rFonts w:asciiTheme="minorHAnsi" w:hAnsiTheme="minorHAnsi"/>
      <w:sz w:val="22"/>
      <w:lang w:val="en-GB"/>
    </w:rPr>
  </w:style>
  <w:style w:type="paragraph" w:styleId="List">
    <w:name w:val="List"/>
    <w:basedOn w:val="Normal"/>
    <w:uiPriority w:val="99"/>
    <w:semiHidden/>
    <w:unhideWhenUsed/>
    <w:rsid w:val="00BB704A"/>
    <w:pPr>
      <w:ind w:left="360" w:hanging="360"/>
      <w:contextualSpacing/>
    </w:pPr>
  </w:style>
  <w:style w:type="character" w:styleId="PlaceholderText">
    <w:name w:val="Placeholder Text"/>
    <w:basedOn w:val="DefaultParagraphFont"/>
    <w:uiPriority w:val="99"/>
    <w:semiHidden/>
    <w:rsid w:val="0041025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737">
      <w:bodyDiv w:val="1"/>
      <w:marLeft w:val="0"/>
      <w:marRight w:val="0"/>
      <w:marTop w:val="0"/>
      <w:marBottom w:val="0"/>
      <w:divBdr>
        <w:top w:val="none" w:sz="0" w:space="0" w:color="auto"/>
        <w:left w:val="none" w:sz="0" w:space="0" w:color="auto"/>
        <w:bottom w:val="none" w:sz="0" w:space="0" w:color="auto"/>
        <w:right w:val="none" w:sz="0" w:space="0" w:color="auto"/>
      </w:divBdr>
    </w:div>
    <w:div w:id="22175244">
      <w:bodyDiv w:val="1"/>
      <w:marLeft w:val="0"/>
      <w:marRight w:val="0"/>
      <w:marTop w:val="0"/>
      <w:marBottom w:val="0"/>
      <w:divBdr>
        <w:top w:val="none" w:sz="0" w:space="0" w:color="auto"/>
        <w:left w:val="none" w:sz="0" w:space="0" w:color="auto"/>
        <w:bottom w:val="none" w:sz="0" w:space="0" w:color="auto"/>
        <w:right w:val="none" w:sz="0" w:space="0" w:color="auto"/>
      </w:divBdr>
    </w:div>
    <w:div w:id="67196455">
      <w:bodyDiv w:val="1"/>
      <w:marLeft w:val="0"/>
      <w:marRight w:val="0"/>
      <w:marTop w:val="0"/>
      <w:marBottom w:val="0"/>
      <w:divBdr>
        <w:top w:val="none" w:sz="0" w:space="0" w:color="auto"/>
        <w:left w:val="none" w:sz="0" w:space="0" w:color="auto"/>
        <w:bottom w:val="none" w:sz="0" w:space="0" w:color="auto"/>
        <w:right w:val="none" w:sz="0" w:space="0" w:color="auto"/>
      </w:divBdr>
      <w:divsChild>
        <w:div w:id="706568434">
          <w:marLeft w:val="0"/>
          <w:marRight w:val="0"/>
          <w:marTop w:val="0"/>
          <w:marBottom w:val="0"/>
          <w:divBdr>
            <w:top w:val="none" w:sz="0" w:space="0" w:color="auto"/>
            <w:left w:val="none" w:sz="0" w:space="0" w:color="auto"/>
            <w:bottom w:val="none" w:sz="0" w:space="0" w:color="auto"/>
            <w:right w:val="none" w:sz="0" w:space="0" w:color="auto"/>
          </w:divBdr>
        </w:div>
        <w:div w:id="1310475964">
          <w:marLeft w:val="0"/>
          <w:marRight w:val="0"/>
          <w:marTop w:val="0"/>
          <w:marBottom w:val="0"/>
          <w:divBdr>
            <w:top w:val="none" w:sz="0" w:space="0" w:color="auto"/>
            <w:left w:val="none" w:sz="0" w:space="0" w:color="auto"/>
            <w:bottom w:val="none" w:sz="0" w:space="0" w:color="auto"/>
            <w:right w:val="none" w:sz="0" w:space="0" w:color="auto"/>
          </w:divBdr>
        </w:div>
        <w:div w:id="1722091482">
          <w:marLeft w:val="0"/>
          <w:marRight w:val="0"/>
          <w:marTop w:val="0"/>
          <w:marBottom w:val="0"/>
          <w:divBdr>
            <w:top w:val="none" w:sz="0" w:space="0" w:color="auto"/>
            <w:left w:val="none" w:sz="0" w:space="0" w:color="auto"/>
            <w:bottom w:val="none" w:sz="0" w:space="0" w:color="auto"/>
            <w:right w:val="none" w:sz="0" w:space="0" w:color="auto"/>
          </w:divBdr>
        </w:div>
        <w:div w:id="1923252217">
          <w:marLeft w:val="0"/>
          <w:marRight w:val="0"/>
          <w:marTop w:val="0"/>
          <w:marBottom w:val="0"/>
          <w:divBdr>
            <w:top w:val="none" w:sz="0" w:space="0" w:color="auto"/>
            <w:left w:val="none" w:sz="0" w:space="0" w:color="auto"/>
            <w:bottom w:val="none" w:sz="0" w:space="0" w:color="auto"/>
            <w:right w:val="none" w:sz="0" w:space="0" w:color="auto"/>
          </w:divBdr>
        </w:div>
      </w:divsChild>
    </w:div>
    <w:div w:id="129715807">
      <w:bodyDiv w:val="1"/>
      <w:marLeft w:val="0"/>
      <w:marRight w:val="0"/>
      <w:marTop w:val="0"/>
      <w:marBottom w:val="0"/>
      <w:divBdr>
        <w:top w:val="none" w:sz="0" w:space="0" w:color="auto"/>
        <w:left w:val="none" w:sz="0" w:space="0" w:color="auto"/>
        <w:bottom w:val="none" w:sz="0" w:space="0" w:color="auto"/>
        <w:right w:val="none" w:sz="0" w:space="0" w:color="auto"/>
      </w:divBdr>
    </w:div>
    <w:div w:id="284507505">
      <w:bodyDiv w:val="1"/>
      <w:marLeft w:val="0"/>
      <w:marRight w:val="0"/>
      <w:marTop w:val="0"/>
      <w:marBottom w:val="0"/>
      <w:divBdr>
        <w:top w:val="none" w:sz="0" w:space="0" w:color="auto"/>
        <w:left w:val="none" w:sz="0" w:space="0" w:color="auto"/>
        <w:bottom w:val="none" w:sz="0" w:space="0" w:color="auto"/>
        <w:right w:val="none" w:sz="0" w:space="0" w:color="auto"/>
      </w:divBdr>
    </w:div>
    <w:div w:id="368721243">
      <w:bodyDiv w:val="1"/>
      <w:marLeft w:val="0"/>
      <w:marRight w:val="0"/>
      <w:marTop w:val="0"/>
      <w:marBottom w:val="0"/>
      <w:divBdr>
        <w:top w:val="none" w:sz="0" w:space="0" w:color="auto"/>
        <w:left w:val="none" w:sz="0" w:space="0" w:color="auto"/>
        <w:bottom w:val="none" w:sz="0" w:space="0" w:color="auto"/>
        <w:right w:val="none" w:sz="0" w:space="0" w:color="auto"/>
      </w:divBdr>
    </w:div>
    <w:div w:id="396362190">
      <w:bodyDiv w:val="1"/>
      <w:marLeft w:val="0"/>
      <w:marRight w:val="0"/>
      <w:marTop w:val="0"/>
      <w:marBottom w:val="0"/>
      <w:divBdr>
        <w:top w:val="none" w:sz="0" w:space="0" w:color="auto"/>
        <w:left w:val="none" w:sz="0" w:space="0" w:color="auto"/>
        <w:bottom w:val="none" w:sz="0" w:space="0" w:color="auto"/>
        <w:right w:val="none" w:sz="0" w:space="0" w:color="auto"/>
      </w:divBdr>
    </w:div>
    <w:div w:id="404183878">
      <w:bodyDiv w:val="1"/>
      <w:marLeft w:val="0"/>
      <w:marRight w:val="0"/>
      <w:marTop w:val="0"/>
      <w:marBottom w:val="0"/>
      <w:divBdr>
        <w:top w:val="none" w:sz="0" w:space="0" w:color="auto"/>
        <w:left w:val="none" w:sz="0" w:space="0" w:color="auto"/>
        <w:bottom w:val="none" w:sz="0" w:space="0" w:color="auto"/>
        <w:right w:val="none" w:sz="0" w:space="0" w:color="auto"/>
      </w:divBdr>
    </w:div>
    <w:div w:id="647972994">
      <w:bodyDiv w:val="1"/>
      <w:marLeft w:val="0"/>
      <w:marRight w:val="0"/>
      <w:marTop w:val="0"/>
      <w:marBottom w:val="0"/>
      <w:divBdr>
        <w:top w:val="none" w:sz="0" w:space="0" w:color="auto"/>
        <w:left w:val="none" w:sz="0" w:space="0" w:color="auto"/>
        <w:bottom w:val="none" w:sz="0" w:space="0" w:color="auto"/>
        <w:right w:val="none" w:sz="0" w:space="0" w:color="auto"/>
      </w:divBdr>
    </w:div>
    <w:div w:id="684524420">
      <w:bodyDiv w:val="1"/>
      <w:marLeft w:val="0"/>
      <w:marRight w:val="0"/>
      <w:marTop w:val="0"/>
      <w:marBottom w:val="0"/>
      <w:divBdr>
        <w:top w:val="none" w:sz="0" w:space="0" w:color="auto"/>
        <w:left w:val="none" w:sz="0" w:space="0" w:color="auto"/>
        <w:bottom w:val="none" w:sz="0" w:space="0" w:color="auto"/>
        <w:right w:val="none" w:sz="0" w:space="0" w:color="auto"/>
      </w:divBdr>
    </w:div>
    <w:div w:id="704449466">
      <w:bodyDiv w:val="1"/>
      <w:marLeft w:val="0"/>
      <w:marRight w:val="0"/>
      <w:marTop w:val="0"/>
      <w:marBottom w:val="0"/>
      <w:divBdr>
        <w:top w:val="none" w:sz="0" w:space="0" w:color="auto"/>
        <w:left w:val="none" w:sz="0" w:space="0" w:color="auto"/>
        <w:bottom w:val="none" w:sz="0" w:space="0" w:color="auto"/>
        <w:right w:val="none" w:sz="0" w:space="0" w:color="auto"/>
      </w:divBdr>
    </w:div>
    <w:div w:id="855071942">
      <w:bodyDiv w:val="1"/>
      <w:marLeft w:val="0"/>
      <w:marRight w:val="0"/>
      <w:marTop w:val="0"/>
      <w:marBottom w:val="0"/>
      <w:divBdr>
        <w:top w:val="none" w:sz="0" w:space="0" w:color="auto"/>
        <w:left w:val="none" w:sz="0" w:space="0" w:color="auto"/>
        <w:bottom w:val="none" w:sz="0" w:space="0" w:color="auto"/>
        <w:right w:val="none" w:sz="0" w:space="0" w:color="auto"/>
      </w:divBdr>
    </w:div>
    <w:div w:id="900558551">
      <w:bodyDiv w:val="1"/>
      <w:marLeft w:val="0"/>
      <w:marRight w:val="0"/>
      <w:marTop w:val="0"/>
      <w:marBottom w:val="0"/>
      <w:divBdr>
        <w:top w:val="none" w:sz="0" w:space="0" w:color="auto"/>
        <w:left w:val="none" w:sz="0" w:space="0" w:color="auto"/>
        <w:bottom w:val="none" w:sz="0" w:space="0" w:color="auto"/>
        <w:right w:val="none" w:sz="0" w:space="0" w:color="auto"/>
      </w:divBdr>
    </w:div>
    <w:div w:id="941451864">
      <w:bodyDiv w:val="1"/>
      <w:marLeft w:val="0"/>
      <w:marRight w:val="0"/>
      <w:marTop w:val="0"/>
      <w:marBottom w:val="0"/>
      <w:divBdr>
        <w:top w:val="none" w:sz="0" w:space="0" w:color="auto"/>
        <w:left w:val="none" w:sz="0" w:space="0" w:color="auto"/>
        <w:bottom w:val="none" w:sz="0" w:space="0" w:color="auto"/>
        <w:right w:val="none" w:sz="0" w:space="0" w:color="auto"/>
      </w:divBdr>
    </w:div>
    <w:div w:id="966273339">
      <w:bodyDiv w:val="1"/>
      <w:marLeft w:val="0"/>
      <w:marRight w:val="0"/>
      <w:marTop w:val="0"/>
      <w:marBottom w:val="0"/>
      <w:divBdr>
        <w:top w:val="none" w:sz="0" w:space="0" w:color="auto"/>
        <w:left w:val="none" w:sz="0" w:space="0" w:color="auto"/>
        <w:bottom w:val="none" w:sz="0" w:space="0" w:color="auto"/>
        <w:right w:val="none" w:sz="0" w:space="0" w:color="auto"/>
      </w:divBdr>
    </w:div>
    <w:div w:id="1019743151">
      <w:bodyDiv w:val="1"/>
      <w:marLeft w:val="0"/>
      <w:marRight w:val="0"/>
      <w:marTop w:val="0"/>
      <w:marBottom w:val="0"/>
      <w:divBdr>
        <w:top w:val="none" w:sz="0" w:space="0" w:color="auto"/>
        <w:left w:val="none" w:sz="0" w:space="0" w:color="auto"/>
        <w:bottom w:val="none" w:sz="0" w:space="0" w:color="auto"/>
        <w:right w:val="none" w:sz="0" w:space="0" w:color="auto"/>
      </w:divBdr>
    </w:div>
    <w:div w:id="1252080457">
      <w:bodyDiv w:val="1"/>
      <w:marLeft w:val="0"/>
      <w:marRight w:val="0"/>
      <w:marTop w:val="0"/>
      <w:marBottom w:val="0"/>
      <w:divBdr>
        <w:top w:val="none" w:sz="0" w:space="0" w:color="auto"/>
        <w:left w:val="none" w:sz="0" w:space="0" w:color="auto"/>
        <w:bottom w:val="none" w:sz="0" w:space="0" w:color="auto"/>
        <w:right w:val="none" w:sz="0" w:space="0" w:color="auto"/>
      </w:divBdr>
      <w:divsChild>
        <w:div w:id="1405028578">
          <w:marLeft w:val="0"/>
          <w:marRight w:val="0"/>
          <w:marTop w:val="0"/>
          <w:marBottom w:val="0"/>
          <w:divBdr>
            <w:top w:val="none" w:sz="0" w:space="0" w:color="auto"/>
            <w:left w:val="none" w:sz="0" w:space="0" w:color="auto"/>
            <w:bottom w:val="none" w:sz="0" w:space="0" w:color="auto"/>
            <w:right w:val="none" w:sz="0" w:space="0" w:color="auto"/>
          </w:divBdr>
        </w:div>
      </w:divsChild>
    </w:div>
    <w:div w:id="1254780122">
      <w:bodyDiv w:val="1"/>
      <w:marLeft w:val="0"/>
      <w:marRight w:val="0"/>
      <w:marTop w:val="0"/>
      <w:marBottom w:val="0"/>
      <w:divBdr>
        <w:top w:val="none" w:sz="0" w:space="0" w:color="auto"/>
        <w:left w:val="none" w:sz="0" w:space="0" w:color="auto"/>
        <w:bottom w:val="none" w:sz="0" w:space="0" w:color="auto"/>
        <w:right w:val="none" w:sz="0" w:space="0" w:color="auto"/>
      </w:divBdr>
      <w:divsChild>
        <w:div w:id="429400715">
          <w:marLeft w:val="0"/>
          <w:marRight w:val="0"/>
          <w:marTop w:val="0"/>
          <w:marBottom w:val="0"/>
          <w:divBdr>
            <w:top w:val="none" w:sz="0" w:space="0" w:color="auto"/>
            <w:left w:val="none" w:sz="0" w:space="0" w:color="auto"/>
            <w:bottom w:val="none" w:sz="0" w:space="0" w:color="auto"/>
            <w:right w:val="none" w:sz="0" w:space="0" w:color="auto"/>
          </w:divBdr>
        </w:div>
      </w:divsChild>
    </w:div>
    <w:div w:id="1265579514">
      <w:bodyDiv w:val="1"/>
      <w:marLeft w:val="0"/>
      <w:marRight w:val="0"/>
      <w:marTop w:val="0"/>
      <w:marBottom w:val="0"/>
      <w:divBdr>
        <w:top w:val="none" w:sz="0" w:space="0" w:color="auto"/>
        <w:left w:val="none" w:sz="0" w:space="0" w:color="auto"/>
        <w:bottom w:val="none" w:sz="0" w:space="0" w:color="auto"/>
        <w:right w:val="none" w:sz="0" w:space="0" w:color="auto"/>
      </w:divBdr>
    </w:div>
    <w:div w:id="1373072360">
      <w:bodyDiv w:val="1"/>
      <w:marLeft w:val="0"/>
      <w:marRight w:val="0"/>
      <w:marTop w:val="0"/>
      <w:marBottom w:val="0"/>
      <w:divBdr>
        <w:top w:val="none" w:sz="0" w:space="0" w:color="auto"/>
        <w:left w:val="none" w:sz="0" w:space="0" w:color="auto"/>
        <w:bottom w:val="none" w:sz="0" w:space="0" w:color="auto"/>
        <w:right w:val="none" w:sz="0" w:space="0" w:color="auto"/>
      </w:divBdr>
    </w:div>
    <w:div w:id="1452702855">
      <w:bodyDiv w:val="1"/>
      <w:marLeft w:val="0"/>
      <w:marRight w:val="0"/>
      <w:marTop w:val="0"/>
      <w:marBottom w:val="0"/>
      <w:divBdr>
        <w:top w:val="none" w:sz="0" w:space="0" w:color="auto"/>
        <w:left w:val="none" w:sz="0" w:space="0" w:color="auto"/>
        <w:bottom w:val="none" w:sz="0" w:space="0" w:color="auto"/>
        <w:right w:val="none" w:sz="0" w:space="0" w:color="auto"/>
      </w:divBdr>
      <w:divsChild>
        <w:div w:id="2058237658">
          <w:marLeft w:val="0"/>
          <w:marRight w:val="0"/>
          <w:marTop w:val="0"/>
          <w:marBottom w:val="0"/>
          <w:divBdr>
            <w:top w:val="none" w:sz="0" w:space="0" w:color="auto"/>
            <w:left w:val="none" w:sz="0" w:space="0" w:color="auto"/>
            <w:bottom w:val="none" w:sz="0" w:space="0" w:color="auto"/>
            <w:right w:val="none" w:sz="0" w:space="0" w:color="auto"/>
          </w:divBdr>
        </w:div>
      </w:divsChild>
    </w:div>
    <w:div w:id="1468205324">
      <w:bodyDiv w:val="1"/>
      <w:marLeft w:val="0"/>
      <w:marRight w:val="0"/>
      <w:marTop w:val="0"/>
      <w:marBottom w:val="0"/>
      <w:divBdr>
        <w:top w:val="none" w:sz="0" w:space="0" w:color="auto"/>
        <w:left w:val="none" w:sz="0" w:space="0" w:color="auto"/>
        <w:bottom w:val="none" w:sz="0" w:space="0" w:color="auto"/>
        <w:right w:val="none" w:sz="0" w:space="0" w:color="auto"/>
      </w:divBdr>
    </w:div>
    <w:div w:id="1649164890">
      <w:bodyDiv w:val="1"/>
      <w:marLeft w:val="0"/>
      <w:marRight w:val="0"/>
      <w:marTop w:val="0"/>
      <w:marBottom w:val="0"/>
      <w:divBdr>
        <w:top w:val="none" w:sz="0" w:space="0" w:color="auto"/>
        <w:left w:val="none" w:sz="0" w:space="0" w:color="auto"/>
        <w:bottom w:val="none" w:sz="0" w:space="0" w:color="auto"/>
        <w:right w:val="none" w:sz="0" w:space="0" w:color="auto"/>
      </w:divBdr>
    </w:div>
    <w:div w:id="1954824895">
      <w:bodyDiv w:val="1"/>
      <w:marLeft w:val="0"/>
      <w:marRight w:val="0"/>
      <w:marTop w:val="0"/>
      <w:marBottom w:val="0"/>
      <w:divBdr>
        <w:top w:val="none" w:sz="0" w:space="0" w:color="auto"/>
        <w:left w:val="none" w:sz="0" w:space="0" w:color="auto"/>
        <w:bottom w:val="none" w:sz="0" w:space="0" w:color="auto"/>
        <w:right w:val="none" w:sz="0" w:space="0" w:color="auto"/>
      </w:divBdr>
    </w:div>
    <w:div w:id="2115900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5AIRPNAIUNRU-1328258698-11295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https://nokia.sharepoint.com/sites/c5g/5gradio/_layouts/15/DocIdRedir.aspx?ID=5AIRPNAIUNRU-1328258698-11295</Url>
      <Description>5AIRPNAIUNRU-1328258698-11295</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8F739E54-0458-409B-B460-9645BA0C2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3</Pages>
  <Words>866</Words>
  <Characters>5285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Erika Almeida</cp:lastModifiedBy>
  <cp:revision>6</cp:revision>
  <dcterms:created xsi:type="dcterms:W3CDTF">2022-04-12T11:45:00Z</dcterms:created>
  <dcterms:modified xsi:type="dcterms:W3CDTF">2022-04-25T18:41:00Z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4d7c403d-3e03-4261-880a-9c8d78b910c4</vt:lpwstr>
  </property>
</Properties>
</file>